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B8" w:rsidRDefault="000C0FD6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证券代码：</w:t>
      </w:r>
      <w:sdt>
        <w:sdtPr>
          <w:rPr>
            <w:rFonts w:ascii="Times New Roman" w:eastAsia="宋体" w:hAnsi="Times New Roman" w:cs="Times New Roman" w:hint="eastAsia"/>
            <w:sz w:val="24"/>
            <w:szCs w:val="24"/>
          </w:rPr>
          <w:alias w:val="公司代码"/>
          <w:tag w:val="_GBC_138c01e0fe974213b7dbee2fd8863794"/>
          <w:id w:val="18756833"/>
          <w:placeholder>
            <w:docPart w:val="19C722AA1F06413AA8EC6BF90E4D8519"/>
          </w:placeholder>
        </w:sdtPr>
        <w:sdtEndPr/>
        <w:sdtContent>
          <w:r>
            <w:rPr>
              <w:rFonts w:ascii="Times New Roman" w:eastAsia="宋体" w:hAnsi="Times New Roman" w:cs="Times New Roman" w:hint="eastAsia"/>
              <w:sz w:val="24"/>
              <w:szCs w:val="24"/>
            </w:rPr>
            <w:t>688165</w:t>
          </w:r>
        </w:sdtContent>
      </w:sdt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>证券简称：</w:t>
      </w:r>
      <w:sdt>
        <w:sdtPr>
          <w:rPr>
            <w:rFonts w:ascii="Times New Roman" w:eastAsia="宋体" w:hAnsi="Times New Roman" w:cs="Times New Roman" w:hint="eastAsia"/>
            <w:sz w:val="24"/>
            <w:szCs w:val="24"/>
          </w:rPr>
          <w:alias w:val="公司简称"/>
          <w:tag w:val="_GBC_6ee4c2067d484d859d579e07119d67d5"/>
          <w:id w:val="20181787"/>
          <w:placeholder>
            <w:docPart w:val="19C722AA1F06413AA8EC6BF90E4D8519"/>
          </w:placeholder>
        </w:sdtPr>
        <w:sdtEndPr/>
        <w:sdtContent>
          <w:proofErr w:type="gramStart"/>
          <w:r>
            <w:rPr>
              <w:rFonts w:ascii="Times New Roman" w:eastAsia="宋体" w:hAnsi="Times New Roman" w:cs="Times New Roman" w:hint="eastAsia"/>
              <w:sz w:val="24"/>
              <w:szCs w:val="24"/>
            </w:rPr>
            <w:t>埃夫特</w:t>
          </w:r>
          <w:proofErr w:type="gramEnd"/>
        </w:sdtContent>
      </w:sdt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公告编号：</w:t>
      </w:r>
      <w:sdt>
        <w:sdtPr>
          <w:rPr>
            <w:rFonts w:ascii="Times New Roman" w:eastAsia="宋体" w:hAnsi="Times New Roman" w:cs="Times New Roman" w:hint="eastAsia"/>
            <w:sz w:val="24"/>
            <w:szCs w:val="24"/>
          </w:rPr>
          <w:alias w:val="临时公告编号"/>
          <w:tag w:val="_GBC_51438e46cb944a2bb6b9cb5e9d53d512"/>
          <w:id w:val="2956708"/>
          <w:placeholder>
            <w:docPart w:val="19C722AA1F06413AA8EC6BF90E4D8519"/>
          </w:placeholder>
        </w:sdtPr>
        <w:sdtEndPr/>
        <w:sdtContent>
          <w:r>
            <w:rPr>
              <w:rFonts w:ascii="Times New Roman" w:eastAsia="宋体" w:hAnsi="Times New Roman" w:cs="Times New Roman" w:hint="eastAsia"/>
              <w:sz w:val="24"/>
              <w:szCs w:val="24"/>
            </w:rPr>
            <w:t>202</w:t>
          </w:r>
          <w:r>
            <w:rPr>
              <w:rFonts w:ascii="Times New Roman" w:eastAsia="宋体" w:hAnsi="Times New Roman" w:cs="Times New Roman"/>
              <w:sz w:val="24"/>
              <w:szCs w:val="24"/>
            </w:rPr>
            <w:t>3</w:t>
          </w:r>
          <w:r>
            <w:rPr>
              <w:rFonts w:ascii="Times New Roman" w:eastAsia="宋体" w:hAnsi="Times New Roman" w:cs="Times New Roman" w:hint="eastAsia"/>
              <w:sz w:val="24"/>
              <w:szCs w:val="24"/>
            </w:rPr>
            <w:t>-</w:t>
          </w:r>
        </w:sdtContent>
      </w:sdt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>
        <w:rPr>
          <w:rFonts w:ascii="Times New Roman" w:eastAsia="宋体" w:hAnsi="Times New Roman" w:cs="Times New Roman"/>
          <w:sz w:val="24"/>
          <w:szCs w:val="24"/>
        </w:rPr>
        <w:t>68</w:t>
      </w:r>
    </w:p>
    <w:p w:rsidR="004455B8" w:rsidRDefault="000C0FD6">
      <w:pPr>
        <w:spacing w:line="520" w:lineRule="exact"/>
        <w:jc w:val="center"/>
        <w:rPr>
          <w:rFonts w:ascii="黑体" w:eastAsia="黑体" w:hAnsi="Arial" w:cs="Arial"/>
          <w:b/>
          <w:color w:val="FF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黑体" w:eastAsia="黑体" w:hAnsi="Arial" w:cs="Arial" w:hint="eastAsia"/>
          <w:b/>
          <w:color w:val="FF0000"/>
          <w:sz w:val="36"/>
          <w:szCs w:val="36"/>
        </w:rPr>
        <w:t>埃夫</w:t>
      </w:r>
      <w:proofErr w:type="gramStart"/>
      <w:r>
        <w:rPr>
          <w:rFonts w:ascii="黑体" w:eastAsia="黑体" w:hAnsi="Arial" w:cs="Arial" w:hint="eastAsia"/>
          <w:b/>
          <w:color w:val="FF0000"/>
          <w:sz w:val="36"/>
          <w:szCs w:val="36"/>
        </w:rPr>
        <w:t>特</w:t>
      </w:r>
      <w:proofErr w:type="gramEnd"/>
      <w:r>
        <w:rPr>
          <w:rFonts w:ascii="黑体" w:eastAsia="黑体" w:hAnsi="Arial" w:cs="Arial" w:hint="eastAsia"/>
          <w:b/>
          <w:color w:val="FF0000"/>
          <w:sz w:val="36"/>
          <w:szCs w:val="36"/>
        </w:rPr>
        <w:t>智能装备股份有限公司</w:t>
      </w:r>
    </w:p>
    <w:p w:rsidR="004455B8" w:rsidRDefault="000C0FD6">
      <w:pPr>
        <w:spacing w:line="520" w:lineRule="exact"/>
        <w:jc w:val="center"/>
        <w:rPr>
          <w:rFonts w:ascii="黑体" w:eastAsia="黑体" w:hAnsi="Arial" w:cs="Arial"/>
          <w:b/>
          <w:color w:val="FF0000"/>
          <w:sz w:val="36"/>
          <w:szCs w:val="36"/>
        </w:rPr>
      </w:pPr>
      <w:r>
        <w:rPr>
          <w:rFonts w:ascii="黑体" w:eastAsia="黑体" w:hAnsi="Arial" w:cs="Arial" w:hint="eastAsia"/>
          <w:b/>
          <w:color w:val="FF0000"/>
          <w:sz w:val="36"/>
          <w:szCs w:val="36"/>
        </w:rPr>
        <w:t>关于全资子公司出售资产暨关联交易的进展公告</w:t>
      </w:r>
    </w:p>
    <w:p w:rsidR="004455B8" w:rsidRDefault="004455B8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455B8" w:rsidRDefault="000C0FD6">
      <w:pPr>
        <w:widowControl/>
        <w:jc w:val="left"/>
        <w:rPr>
          <w:rFonts w:ascii="Times New Roman" w:eastAsia="宋体" w:hAnsi="Times New Roman" w:cs="Times New Roman"/>
          <w:b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>
                <wp:extent cx="5412740" cy="601345"/>
                <wp:effectExtent l="4445" t="4445" r="8255" b="19050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60134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455B8" w:rsidRDefault="000C0FD6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本公司董事会及全体董事保证公告内容不存在任何虚假记载、误导性陈述或者重大遗漏，并对其内容的真实性、准确性和完整性依法承担法律责任。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426.2pt;height: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" filled="f" strokeweight=".48pt">
                <v:textbox inset="2mm,0,2mm,0">
                  <w:txbxContent>
                    <w:p w:rsidR="004455B8" w:rsidRDefault="000C0FD6">
                      <w:pPr>
                        <w:spacing w:line="360" w:lineRule="auto"/>
                        <w:ind w:firstLineChars="200" w:firstLine="48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本公司董事会及全体董事保证公告内容不存在任何虚假记载、误导性陈述或者重大遗漏，并对其内容的真实性、准确性和完整性依法承担法律责任。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5B8" w:rsidRDefault="004455B8">
      <w:pPr>
        <w:widowControl/>
        <w:jc w:val="left"/>
        <w:rPr>
          <w:rFonts w:ascii="Times New Roman" w:eastAsia="宋体" w:hAnsi="Times New Roman" w:cs="Times New Roman"/>
          <w:b/>
          <w:kern w:val="0"/>
          <w:sz w:val="20"/>
          <w:szCs w:val="20"/>
        </w:rPr>
      </w:pPr>
    </w:p>
    <w:p w:rsidR="004455B8" w:rsidRDefault="000C0FD6">
      <w:pPr>
        <w:numPr>
          <w:ilvl w:val="0"/>
          <w:numId w:val="1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交易概述</w:t>
      </w:r>
    </w:p>
    <w:p w:rsidR="004455B8" w:rsidRDefault="000C0FD6">
      <w:pPr>
        <w:numPr>
          <w:ilvl w:val="255"/>
          <w:numId w:val="0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埃夫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特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智能装备股份有限公司（以下简称</w:t>
      </w:r>
      <w:r>
        <w:rPr>
          <w:rFonts w:ascii="宋体" w:eastAsia="宋体" w:hAnsi="宋体" w:cs="宋体" w:hint="eastAsia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公司</w:t>
      </w:r>
      <w:r>
        <w:rPr>
          <w:rFonts w:ascii="宋体" w:eastAsia="宋体" w:hAnsi="宋体" w:cs="宋体" w:hint="eastAsia"/>
          <w:sz w:val="24"/>
          <w:szCs w:val="24"/>
        </w:rPr>
        <w:t>”）</w:t>
      </w:r>
      <w:r>
        <w:rPr>
          <w:rFonts w:ascii="Times New Roman" w:eastAsia="宋体" w:hAnsi="Times New Roman" w:cs="Times New Roman"/>
          <w:sz w:val="24"/>
          <w:szCs w:val="24"/>
        </w:rPr>
        <w:t>全资子公司</w:t>
      </w:r>
      <w:r>
        <w:rPr>
          <w:rFonts w:ascii="Times New Roman" w:eastAsia="宋体" w:hAnsi="Times New Roman" w:cs="Times New Roman"/>
          <w:sz w:val="24"/>
          <w:szCs w:val="24"/>
        </w:rPr>
        <w:t>EFORT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W.F.C.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Holding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S.p.A.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以下简称</w:t>
      </w:r>
      <w:r>
        <w:rPr>
          <w:rFonts w:ascii="宋体" w:eastAsia="宋体" w:hAnsi="宋体" w:cs="宋体" w:hint="eastAsia"/>
          <w:sz w:val="24"/>
          <w:szCs w:val="24"/>
        </w:rPr>
        <w:t>“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WFC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）拟将其持有的</w:t>
      </w:r>
      <w:r>
        <w:rPr>
          <w:rFonts w:ascii="Times New Roman" w:eastAsia="宋体" w:hAnsi="Times New Roman" w:cs="Times New Roman"/>
          <w:sz w:val="24"/>
          <w:szCs w:val="24"/>
        </w:rPr>
        <w:t>GME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Aerospace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Indústria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de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Material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Composto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S.A.</w:t>
      </w:r>
      <w:r>
        <w:rPr>
          <w:rFonts w:ascii="Times New Roman" w:eastAsia="宋体" w:hAnsi="Times New Roman" w:cs="Times New Roman"/>
          <w:sz w:val="24"/>
          <w:szCs w:val="24"/>
        </w:rPr>
        <w:t>（以下简称</w:t>
      </w:r>
      <w:r>
        <w:rPr>
          <w:rFonts w:ascii="宋体" w:eastAsia="宋体" w:hAnsi="宋体" w:cs="宋体" w:hint="eastAsia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GME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51%</w:t>
      </w:r>
      <w:r>
        <w:rPr>
          <w:rFonts w:ascii="Times New Roman" w:eastAsia="宋体" w:hAnsi="Times New Roman" w:cs="Times New Roman"/>
          <w:sz w:val="24"/>
          <w:szCs w:val="24"/>
        </w:rPr>
        <w:t>股权作价</w:t>
      </w:r>
      <w:r>
        <w:rPr>
          <w:rFonts w:ascii="Times New Roman" w:eastAsia="宋体" w:hAnsi="Times New Roman" w:cs="Times New Roman"/>
          <w:sz w:val="24"/>
          <w:szCs w:val="24"/>
        </w:rPr>
        <w:t>1,953</w:t>
      </w:r>
      <w:r>
        <w:rPr>
          <w:rFonts w:ascii="Times New Roman" w:eastAsia="宋体" w:hAnsi="Times New Roman" w:cs="Times New Roman"/>
          <w:sz w:val="24"/>
          <w:szCs w:val="24"/>
        </w:rPr>
        <w:t>万欧元出售给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Spectre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S.r.l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（以下简称</w:t>
      </w: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Spectre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）。若本次股权出售完成，公司全资子公司</w:t>
      </w:r>
      <w:r>
        <w:rPr>
          <w:rFonts w:ascii="Times New Roman" w:eastAsia="宋体" w:hAnsi="Times New Roman" w:cs="Times New Roman"/>
          <w:sz w:val="24"/>
          <w:szCs w:val="24"/>
        </w:rPr>
        <w:t>WFC</w:t>
      </w:r>
      <w:r>
        <w:rPr>
          <w:rFonts w:ascii="Times New Roman" w:eastAsia="宋体" w:hAnsi="Times New Roman" w:cs="Times New Roman"/>
          <w:sz w:val="24"/>
          <w:szCs w:val="24"/>
        </w:rPr>
        <w:t>持有</w:t>
      </w:r>
      <w:r>
        <w:rPr>
          <w:rFonts w:ascii="Times New Roman" w:eastAsia="宋体" w:hAnsi="Times New Roman" w:cs="Times New Roman"/>
          <w:sz w:val="24"/>
          <w:szCs w:val="24"/>
        </w:rPr>
        <w:t>GME</w:t>
      </w:r>
      <w:r>
        <w:rPr>
          <w:rFonts w:ascii="Times New Roman" w:eastAsia="宋体" w:hAnsi="Times New Roman" w:cs="Times New Roman"/>
          <w:sz w:val="24"/>
          <w:szCs w:val="24"/>
        </w:rPr>
        <w:t>的股权比例将由</w:t>
      </w:r>
      <w:r>
        <w:rPr>
          <w:rFonts w:ascii="Times New Roman" w:eastAsia="宋体" w:hAnsi="Times New Roman" w:cs="Times New Roman"/>
          <w:sz w:val="24"/>
          <w:szCs w:val="24"/>
        </w:rPr>
        <w:t>99.99%</w:t>
      </w:r>
      <w:r>
        <w:rPr>
          <w:rFonts w:ascii="Times New Roman" w:eastAsia="宋体" w:hAnsi="Times New Roman" w:cs="Times New Roman"/>
          <w:sz w:val="24"/>
          <w:szCs w:val="24"/>
        </w:rPr>
        <w:t>降至</w:t>
      </w:r>
      <w:r>
        <w:rPr>
          <w:rFonts w:ascii="Times New Roman" w:eastAsia="宋体" w:hAnsi="Times New Roman" w:cs="Times New Roman"/>
          <w:sz w:val="24"/>
          <w:szCs w:val="24"/>
        </w:rPr>
        <w:t>48.99%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GME</w:t>
      </w:r>
      <w:r>
        <w:rPr>
          <w:rFonts w:ascii="Times New Roman" w:eastAsia="宋体" w:hAnsi="Times New Roman" w:cs="Times New Roman"/>
          <w:sz w:val="24"/>
          <w:szCs w:val="24"/>
        </w:rPr>
        <w:t>将不再纳入公司合并报表范围。</w:t>
      </w:r>
    </w:p>
    <w:p w:rsidR="004455B8" w:rsidRDefault="000C0FD6">
      <w:pPr>
        <w:numPr>
          <w:ilvl w:val="255"/>
          <w:numId w:val="0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本次股权转让交易受让方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Spectre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的实际控制人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Erminio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Ceresa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是公司监事</w:t>
      </w:r>
      <w:r>
        <w:rPr>
          <w:rFonts w:ascii="Times New Roman" w:eastAsia="宋体" w:hAnsi="Times New Roman" w:cs="Times New Roman"/>
          <w:sz w:val="24"/>
          <w:szCs w:val="24"/>
        </w:rPr>
        <w:t>Fabrizio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Ceresa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的父亲，监事</w:t>
      </w:r>
      <w:r>
        <w:rPr>
          <w:rFonts w:ascii="Times New Roman" w:eastAsia="宋体" w:hAnsi="Times New Roman" w:cs="Times New Roman"/>
          <w:sz w:val="24"/>
          <w:szCs w:val="24"/>
        </w:rPr>
        <w:t>Fabrizio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Ceresa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是公司持股低于</w:t>
      </w:r>
      <w:r>
        <w:rPr>
          <w:rFonts w:ascii="Times New Roman" w:eastAsia="宋体" w:hAnsi="Times New Roman" w:cs="Times New Roman"/>
          <w:sz w:val="24"/>
          <w:szCs w:val="24"/>
        </w:rPr>
        <w:t>5%</w:t>
      </w:r>
      <w:r>
        <w:rPr>
          <w:rFonts w:ascii="Times New Roman" w:eastAsia="宋体" w:hAnsi="Times New Roman" w:cs="Times New Roman"/>
          <w:sz w:val="24"/>
          <w:szCs w:val="24"/>
        </w:rPr>
        <w:t>的少数股东</w:t>
      </w:r>
      <w:r>
        <w:rPr>
          <w:rFonts w:ascii="Times New Roman" w:eastAsia="宋体" w:hAnsi="Times New Roman" w:cs="Times New Roman"/>
          <w:sz w:val="24"/>
          <w:szCs w:val="24"/>
        </w:rPr>
        <w:t>Phinda Holding S.A.</w:t>
      </w:r>
      <w:r>
        <w:rPr>
          <w:rFonts w:ascii="Times New Roman" w:eastAsia="宋体" w:hAnsi="Times New Roman" w:cs="Times New Roman"/>
          <w:sz w:val="24"/>
          <w:szCs w:val="24"/>
        </w:rPr>
        <w:t>提名的股东监事。故本次交易构成关联交易。</w:t>
      </w:r>
    </w:p>
    <w:p w:rsidR="004455B8" w:rsidRDefault="000C0F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具体内容详见公司于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29</w:t>
      </w:r>
      <w:r>
        <w:rPr>
          <w:rFonts w:ascii="Times New Roman" w:eastAsia="宋体" w:hAnsi="Times New Roman" w:cs="Times New Roman" w:hint="eastAsia"/>
          <w:sz w:val="24"/>
          <w:szCs w:val="24"/>
        </w:rPr>
        <w:t>日在上海证券交易所网站（</w:t>
      </w:r>
      <w:r>
        <w:rPr>
          <w:rFonts w:ascii="Times New Roman" w:eastAsia="宋体" w:hAnsi="Times New Roman" w:cs="Times New Roman" w:hint="eastAsia"/>
          <w:sz w:val="24"/>
          <w:szCs w:val="24"/>
        </w:rPr>
        <w:t>w</w:t>
      </w:r>
      <w:r>
        <w:rPr>
          <w:rFonts w:ascii="Times New Roman" w:eastAsia="宋体" w:hAnsi="Times New Roman" w:cs="Times New Roman"/>
          <w:sz w:val="24"/>
          <w:szCs w:val="24"/>
        </w:rPr>
        <w:t>ww.sse.com.cn</w:t>
      </w:r>
      <w:r>
        <w:rPr>
          <w:rFonts w:ascii="Times New Roman" w:eastAsia="宋体" w:hAnsi="Times New Roman" w:cs="Times New Roman" w:hint="eastAsia"/>
          <w:sz w:val="24"/>
          <w:szCs w:val="24"/>
        </w:rPr>
        <w:t>）披露的《埃夫特关于全资子公司出售资产暨关联交易的公告》（公告编号：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023-06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4455B8" w:rsidRDefault="000C0FD6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二、本次交易的进展情况</w:t>
      </w:r>
    </w:p>
    <w:p w:rsidR="004455B8" w:rsidRDefault="000C0F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近日，公司</w:t>
      </w:r>
      <w:bookmarkStart w:id="0" w:name="_Hlk153439001"/>
      <w:r>
        <w:rPr>
          <w:rFonts w:ascii="Times New Roman" w:eastAsia="宋体" w:hAnsi="Times New Roman" w:cs="Times New Roman" w:hint="eastAsia"/>
          <w:sz w:val="24"/>
          <w:szCs w:val="24"/>
        </w:rPr>
        <w:t>接到</w:t>
      </w:r>
      <w:bookmarkStart w:id="1" w:name="_GoBack"/>
      <w:bookmarkEnd w:id="1"/>
      <w:r>
        <w:rPr>
          <w:rFonts w:ascii="Times New Roman" w:eastAsia="宋体" w:hAnsi="Times New Roman" w:cs="Times New Roman" w:hint="eastAsia"/>
          <w:sz w:val="24"/>
          <w:szCs w:val="24"/>
        </w:rPr>
        <w:t>关于</w:t>
      </w:r>
      <w:r>
        <w:rPr>
          <w:rFonts w:ascii="Times New Roman" w:eastAsia="宋体" w:hAnsi="Times New Roman" w:cs="Times New Roman" w:hint="eastAsia"/>
          <w:sz w:val="24"/>
          <w:szCs w:val="24"/>
        </w:rPr>
        <w:t>全资子公司</w:t>
      </w:r>
      <w:r>
        <w:rPr>
          <w:rFonts w:ascii="Times New Roman" w:eastAsia="宋体" w:hAnsi="Times New Roman" w:cs="Times New Roman" w:hint="eastAsia"/>
          <w:sz w:val="24"/>
          <w:szCs w:val="24"/>
        </w:rPr>
        <w:t>WFC</w:t>
      </w:r>
      <w:r>
        <w:rPr>
          <w:rFonts w:ascii="Times New Roman" w:eastAsia="宋体" w:hAnsi="Times New Roman" w:cs="Times New Roman" w:hint="eastAsia"/>
          <w:sz w:val="24"/>
          <w:szCs w:val="24"/>
        </w:rPr>
        <w:t>出售资产暨关联交易事项</w:t>
      </w:r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已经取得了安徽省芜湖市国资主管部门的批准</w:t>
      </w:r>
      <w:r>
        <w:rPr>
          <w:rFonts w:ascii="Times New Roman" w:eastAsia="宋体" w:hAnsi="Times New Roman" w:cs="Times New Roman" w:hint="eastAsia"/>
          <w:sz w:val="24"/>
          <w:szCs w:val="24"/>
        </w:rPr>
        <w:t>的通知</w:t>
      </w:r>
      <w:r>
        <w:rPr>
          <w:rFonts w:ascii="Times New Roman" w:eastAsia="宋体" w:hAnsi="Times New Roman" w:cs="Times New Roman" w:hint="eastAsia"/>
          <w:sz w:val="24"/>
          <w:szCs w:val="24"/>
        </w:rPr>
        <w:t>，同意公司开展</w:t>
      </w:r>
      <w:r>
        <w:rPr>
          <w:rFonts w:ascii="Times New Roman" w:eastAsia="宋体" w:hAnsi="Times New Roman" w:cs="Times New Roman" w:hint="eastAsia"/>
          <w:sz w:val="24"/>
          <w:szCs w:val="24"/>
        </w:rPr>
        <w:t>G</w:t>
      </w:r>
      <w:r>
        <w:rPr>
          <w:rFonts w:ascii="Times New Roman" w:eastAsia="宋体" w:hAnsi="Times New Roman" w:cs="Times New Roman"/>
          <w:sz w:val="24"/>
          <w:szCs w:val="24"/>
        </w:rPr>
        <w:t>ME</w:t>
      </w:r>
      <w:r>
        <w:rPr>
          <w:rFonts w:ascii="Times New Roman" w:eastAsia="宋体" w:hAnsi="Times New Roman" w:cs="Times New Roman" w:hint="eastAsia"/>
          <w:sz w:val="24"/>
          <w:szCs w:val="24"/>
        </w:rPr>
        <w:t>控股权转让相关工作。</w:t>
      </w:r>
    </w:p>
    <w:p w:rsidR="004455B8" w:rsidRDefault="000C0F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公司全资子公司</w:t>
      </w:r>
      <w:r>
        <w:rPr>
          <w:rFonts w:ascii="Times New Roman" w:eastAsia="宋体" w:hAnsi="Times New Roman" w:cs="Times New Roman" w:hint="eastAsia"/>
          <w:sz w:val="24"/>
          <w:szCs w:val="24"/>
        </w:rPr>
        <w:t>W</w:t>
      </w:r>
      <w:r>
        <w:rPr>
          <w:rFonts w:ascii="Times New Roman" w:eastAsia="宋体" w:hAnsi="Times New Roman" w:cs="Times New Roman"/>
          <w:sz w:val="24"/>
          <w:szCs w:val="24"/>
        </w:rPr>
        <w:t>FC</w:t>
      </w:r>
      <w:r>
        <w:rPr>
          <w:rFonts w:ascii="Times New Roman" w:eastAsia="宋体" w:hAnsi="Times New Roman" w:cs="Times New Roman" w:hint="eastAsia"/>
          <w:sz w:val="24"/>
          <w:szCs w:val="24"/>
        </w:rPr>
        <w:t>出售资产暨关联交易事</w:t>
      </w:r>
      <w:r>
        <w:rPr>
          <w:rFonts w:ascii="Times New Roman" w:eastAsia="宋体" w:hAnsi="Times New Roman" w:cs="Times New Roman" w:hint="eastAsia"/>
          <w:sz w:val="24"/>
          <w:szCs w:val="24"/>
        </w:rPr>
        <w:t>项</w:t>
      </w:r>
      <w:r>
        <w:rPr>
          <w:rFonts w:ascii="Times New Roman" w:eastAsia="宋体" w:hAnsi="Times New Roman" w:cs="Times New Roman" w:hint="eastAsia"/>
          <w:sz w:val="24"/>
          <w:szCs w:val="24"/>
        </w:rPr>
        <w:t>已经公司</w:t>
      </w:r>
      <w:r>
        <w:rPr>
          <w:rFonts w:ascii="Times New Roman" w:eastAsia="宋体" w:hAnsi="Times New Roman" w:cs="Times New Roman" w:hint="eastAsia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sz w:val="24"/>
          <w:szCs w:val="24"/>
        </w:rPr>
        <w:t>召开的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023</w:t>
      </w:r>
      <w:r>
        <w:rPr>
          <w:rFonts w:ascii="Times New Roman" w:eastAsia="宋体" w:hAnsi="Times New Roman" w:cs="Times New Roman" w:hint="eastAsia"/>
          <w:sz w:val="24"/>
          <w:szCs w:val="24"/>
        </w:rPr>
        <w:t>年第六次临时股东大会审议通过。具体内容详见公司于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日在上海证券交易所网站（</w:t>
      </w:r>
      <w:r>
        <w:rPr>
          <w:rFonts w:ascii="Times New Roman" w:eastAsia="宋体" w:hAnsi="Times New Roman" w:cs="Times New Roman" w:hint="eastAsia"/>
          <w:sz w:val="24"/>
          <w:szCs w:val="24"/>
        </w:rPr>
        <w:t>w</w:t>
      </w:r>
      <w:r>
        <w:rPr>
          <w:rFonts w:ascii="Times New Roman" w:eastAsia="宋体" w:hAnsi="Times New Roman" w:cs="Times New Roman"/>
          <w:sz w:val="24"/>
          <w:szCs w:val="24"/>
        </w:rPr>
        <w:t>ww.sse.com.cn</w:t>
      </w:r>
      <w:r>
        <w:rPr>
          <w:rFonts w:ascii="Times New Roman" w:eastAsia="宋体" w:hAnsi="Times New Roman" w:cs="Times New Roman" w:hint="eastAsia"/>
          <w:sz w:val="24"/>
          <w:szCs w:val="24"/>
        </w:rPr>
        <w:t>）披露的《埃夫特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023</w:t>
      </w:r>
      <w:r>
        <w:rPr>
          <w:rFonts w:ascii="Times New Roman" w:eastAsia="宋体" w:hAnsi="Times New Roman" w:cs="Times New Roman" w:hint="eastAsia"/>
          <w:sz w:val="24"/>
          <w:szCs w:val="24"/>
        </w:rPr>
        <w:t>年第六次临时股东大会决议公告》（公告编号：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023-069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4455B8" w:rsidRDefault="000C0FD6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lastRenderedPageBreak/>
        <w:t>三、其他说明</w:t>
      </w:r>
    </w:p>
    <w:p w:rsidR="004455B8" w:rsidRDefault="000C0F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公司将积极推进本次交易的交割工作，并将持续关注本次交易实施进展情况，依照相关法律、法规及制度的规定，及时履行信息披露义务，</w:t>
      </w:r>
      <w:r>
        <w:rPr>
          <w:rFonts w:ascii="monospace" w:eastAsia="monospace" w:hAnsi="monospace" w:cs="monospace"/>
          <w:sz w:val="24"/>
          <w:szCs w:val="24"/>
          <w:shd w:val="clear" w:color="auto" w:fill="FFFFFF"/>
        </w:rPr>
        <w:t>敬请投资者注意投资风险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4455B8" w:rsidRDefault="004455B8">
      <w:pPr>
        <w:spacing w:line="360" w:lineRule="auto"/>
        <w:ind w:firstLineChars="200" w:firstLine="480"/>
        <w:rPr>
          <w:rFonts w:ascii="宋体" w:eastAsia="宋体" w:hAnsi="宋体" w:cstheme="majorBidi"/>
          <w:bCs/>
          <w:kern w:val="0"/>
          <w:sz w:val="24"/>
          <w:szCs w:val="24"/>
        </w:rPr>
      </w:pPr>
    </w:p>
    <w:p w:rsidR="004455B8" w:rsidRDefault="000C0FD6">
      <w:pPr>
        <w:spacing w:line="360" w:lineRule="auto"/>
        <w:ind w:firstLineChars="200" w:firstLine="480"/>
        <w:rPr>
          <w:rFonts w:ascii="宋体" w:eastAsia="宋体" w:hAnsi="宋体" w:cstheme="majorBidi"/>
          <w:bCs/>
          <w:kern w:val="0"/>
          <w:sz w:val="24"/>
          <w:szCs w:val="24"/>
        </w:rPr>
      </w:pPr>
      <w:r>
        <w:rPr>
          <w:rFonts w:ascii="宋体" w:eastAsia="宋体" w:hAnsi="宋体" w:cstheme="majorBidi"/>
          <w:bCs/>
          <w:kern w:val="0"/>
          <w:sz w:val="24"/>
          <w:szCs w:val="24"/>
        </w:rPr>
        <w:t>特此公告。</w:t>
      </w:r>
    </w:p>
    <w:p w:rsidR="004455B8" w:rsidRDefault="004455B8">
      <w:pPr>
        <w:ind w:firstLineChars="200" w:firstLine="480"/>
        <w:jc w:val="left"/>
        <w:rPr>
          <w:rFonts w:ascii="宋体" w:eastAsia="宋体" w:hAnsi="宋体" w:cstheme="majorBidi"/>
          <w:bCs/>
          <w:kern w:val="0"/>
          <w:sz w:val="24"/>
          <w:szCs w:val="24"/>
        </w:rPr>
      </w:pPr>
    </w:p>
    <w:p w:rsidR="004455B8" w:rsidRDefault="004455B8">
      <w:pPr>
        <w:ind w:firstLineChars="200" w:firstLine="480"/>
        <w:jc w:val="left"/>
        <w:rPr>
          <w:rFonts w:ascii="宋体" w:eastAsia="宋体" w:hAnsi="宋体" w:cstheme="majorBidi"/>
          <w:bCs/>
          <w:kern w:val="0"/>
          <w:sz w:val="24"/>
          <w:szCs w:val="24"/>
        </w:rPr>
      </w:pPr>
    </w:p>
    <w:p w:rsidR="004455B8" w:rsidRDefault="004455B8">
      <w:pPr>
        <w:ind w:firstLineChars="200" w:firstLine="480"/>
        <w:jc w:val="left"/>
        <w:rPr>
          <w:rFonts w:ascii="宋体" w:eastAsia="宋体" w:hAnsi="宋体" w:cstheme="majorBidi"/>
          <w:bCs/>
          <w:kern w:val="0"/>
          <w:sz w:val="24"/>
          <w:szCs w:val="24"/>
        </w:rPr>
      </w:pPr>
    </w:p>
    <w:p w:rsidR="004455B8" w:rsidRDefault="000C0FD6">
      <w:pPr>
        <w:spacing w:line="360" w:lineRule="auto"/>
        <w:ind w:leftChars="100" w:left="210"/>
        <w:jc w:val="right"/>
        <w:rPr>
          <w:rFonts w:ascii="宋体" w:eastAsia="宋体" w:hAnsi="宋体" w:cstheme="majorBidi"/>
          <w:bCs/>
          <w:kern w:val="0"/>
          <w:sz w:val="24"/>
          <w:szCs w:val="24"/>
        </w:rPr>
      </w:pPr>
      <w:r>
        <w:rPr>
          <w:rFonts w:ascii="宋体" w:eastAsia="宋体" w:hAnsi="宋体" w:cstheme="majorBidi" w:hint="eastAsia"/>
          <w:bCs/>
          <w:kern w:val="0"/>
          <w:sz w:val="24"/>
          <w:szCs w:val="24"/>
        </w:rPr>
        <w:t>埃夫</w:t>
      </w:r>
      <w:proofErr w:type="gramStart"/>
      <w:r>
        <w:rPr>
          <w:rFonts w:ascii="宋体" w:eastAsia="宋体" w:hAnsi="宋体" w:cstheme="majorBidi" w:hint="eastAsia"/>
          <w:bCs/>
          <w:kern w:val="0"/>
          <w:sz w:val="24"/>
          <w:szCs w:val="24"/>
        </w:rPr>
        <w:t>特</w:t>
      </w:r>
      <w:proofErr w:type="gramEnd"/>
      <w:r>
        <w:rPr>
          <w:rFonts w:ascii="宋体" w:eastAsia="宋体" w:hAnsi="宋体" w:cstheme="majorBidi" w:hint="eastAsia"/>
          <w:bCs/>
          <w:kern w:val="0"/>
          <w:sz w:val="24"/>
          <w:szCs w:val="24"/>
        </w:rPr>
        <w:t>智能装备股份有限公司董事会</w:t>
      </w:r>
    </w:p>
    <w:p w:rsidR="004455B8" w:rsidRDefault="000C0FD6">
      <w:pPr>
        <w:spacing w:line="360" w:lineRule="auto"/>
        <w:jc w:val="righ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2023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12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15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日</w:t>
      </w:r>
    </w:p>
    <w:sectPr w:rsidR="00445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72B69"/>
    <w:multiLevelType w:val="singleLevel"/>
    <w:tmpl w:val="67B72B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940899"/>
    <w:rsid w:val="000C0FD6"/>
    <w:rsid w:val="00107B9F"/>
    <w:rsid w:val="00295E49"/>
    <w:rsid w:val="002A6A36"/>
    <w:rsid w:val="002D445E"/>
    <w:rsid w:val="00402572"/>
    <w:rsid w:val="00407BAE"/>
    <w:rsid w:val="004455B8"/>
    <w:rsid w:val="00465299"/>
    <w:rsid w:val="0047300C"/>
    <w:rsid w:val="004768C8"/>
    <w:rsid w:val="004E48BD"/>
    <w:rsid w:val="00521E12"/>
    <w:rsid w:val="00622E5E"/>
    <w:rsid w:val="007946D6"/>
    <w:rsid w:val="007E21DF"/>
    <w:rsid w:val="0084784D"/>
    <w:rsid w:val="008B4E60"/>
    <w:rsid w:val="008F5B62"/>
    <w:rsid w:val="00940899"/>
    <w:rsid w:val="00995F36"/>
    <w:rsid w:val="00A11413"/>
    <w:rsid w:val="00A12A01"/>
    <w:rsid w:val="00A521C1"/>
    <w:rsid w:val="00AF5D29"/>
    <w:rsid w:val="00B145D8"/>
    <w:rsid w:val="00B64A7D"/>
    <w:rsid w:val="00BE7AFF"/>
    <w:rsid w:val="00C22921"/>
    <w:rsid w:val="00C31952"/>
    <w:rsid w:val="00C617CB"/>
    <w:rsid w:val="00C870F9"/>
    <w:rsid w:val="00CF6C3F"/>
    <w:rsid w:val="00DC5E93"/>
    <w:rsid w:val="00E07CCC"/>
    <w:rsid w:val="00E828CF"/>
    <w:rsid w:val="00E916C9"/>
    <w:rsid w:val="00EA3E0E"/>
    <w:rsid w:val="00ED462C"/>
    <w:rsid w:val="00F62F34"/>
    <w:rsid w:val="00FA4806"/>
    <w:rsid w:val="042E3466"/>
    <w:rsid w:val="05705A49"/>
    <w:rsid w:val="0DC11E34"/>
    <w:rsid w:val="0F246359"/>
    <w:rsid w:val="1CB97B08"/>
    <w:rsid w:val="22A56E36"/>
    <w:rsid w:val="276249DE"/>
    <w:rsid w:val="2C515044"/>
    <w:rsid w:val="3E0D67E8"/>
    <w:rsid w:val="3F724091"/>
    <w:rsid w:val="44BA41E5"/>
    <w:rsid w:val="48F12842"/>
    <w:rsid w:val="4B64308E"/>
    <w:rsid w:val="4B8B4F3E"/>
    <w:rsid w:val="4C3035DB"/>
    <w:rsid w:val="4CB14440"/>
    <w:rsid w:val="4E392537"/>
    <w:rsid w:val="4F137769"/>
    <w:rsid w:val="621A17B7"/>
    <w:rsid w:val="6240161E"/>
    <w:rsid w:val="63873F1B"/>
    <w:rsid w:val="6D851194"/>
    <w:rsid w:val="75E77A7A"/>
    <w:rsid w:val="7A12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AACF48"/>
  <w15:docId w15:val="{797B305A-C758-4ED2-86CA-858C3F9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Calibri" w:hAnsi="Calibri" w:cs="Calibri" w:hint="default"/>
      <w:color w:val="000000"/>
      <w:sz w:val="18"/>
      <w:szCs w:val="18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黑体" w:eastAsia="黑体" w:hAnsi="黑体" w:hint="eastAsia"/>
      <w:color w:val="000000"/>
      <w:sz w:val="36"/>
      <w:szCs w:val="36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C722AA1F06413AA8EC6BF90E4D85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BF41DB-1684-40FA-9BEA-6BE9E0FA4B1E}"/>
      </w:docPartPr>
      <w:docPartBody>
        <w:p w:rsidR="000B0F80" w:rsidRDefault="00DE122D">
          <w:pPr>
            <w:pStyle w:val="19C722AA1F06413AA8EC6BF90E4D8519"/>
          </w:pPr>
          <w:r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">
    <w:altName w:val="Segoe Print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F5"/>
    <w:rsid w:val="00022A5F"/>
    <w:rsid w:val="000B0F80"/>
    <w:rsid w:val="006B5C32"/>
    <w:rsid w:val="00823C39"/>
    <w:rsid w:val="008D02A5"/>
    <w:rsid w:val="008E669B"/>
    <w:rsid w:val="00987110"/>
    <w:rsid w:val="009D71F5"/>
    <w:rsid w:val="00B07297"/>
    <w:rsid w:val="00B457FC"/>
    <w:rsid w:val="00C55807"/>
    <w:rsid w:val="00D53C6F"/>
    <w:rsid w:val="00DB1D12"/>
    <w:rsid w:val="00DE122D"/>
    <w:rsid w:val="00E01C49"/>
    <w:rsid w:val="00E70095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</w:style>
  <w:style w:type="paragraph" w:customStyle="1" w:styleId="3B32C515376846AE9D9C2E73DA27F863">
    <w:name w:val="3B32C515376846AE9D9C2E73DA27F86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5E1EEAAE5DF436C8CD90746B798C311">
    <w:name w:val="75E1EEAAE5DF436C8CD90746B798C3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C722AA1F06413AA8EC6BF90E4D8519">
    <w:name w:val="19C722AA1F06413AA8EC6BF90E4D851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D75CBD04E96466D92DBA1CEBCB0A304">
    <w:name w:val="AD75CBD04E96466D92DBA1CEBCB0A304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XIANPING</dc:creator>
  <cp:lastModifiedBy>伍玉蓉</cp:lastModifiedBy>
  <cp:revision>25</cp:revision>
  <dcterms:created xsi:type="dcterms:W3CDTF">2020-07-25T16:05:00Z</dcterms:created>
  <dcterms:modified xsi:type="dcterms:W3CDTF">2023-12-14T09:39:00Z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845250BE7F12435BB805813517F3686A</vt:lpwstr>
  </property>
</Properties>
</file>