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45CF" w14:textId="77777777" w:rsidR="00100695" w:rsidRPr="003A1532" w:rsidRDefault="00100695" w:rsidP="00100695">
      <w:pPr>
        <w:widowControl/>
        <w:adjustRightInd w:val="0"/>
        <w:snapToGrid w:val="0"/>
        <w:spacing w:beforeLines="50" w:before="156" w:line="360" w:lineRule="auto"/>
        <w:jc w:val="center"/>
        <w:rPr>
          <w:rFonts w:ascii="Times New Roman" w:eastAsia="黑体" w:hAnsi="Times New Roman"/>
          <w:b/>
          <w:kern w:val="0"/>
          <w:sz w:val="28"/>
          <w:szCs w:val="36"/>
        </w:rPr>
      </w:pPr>
      <w:r w:rsidRPr="003A1532">
        <w:rPr>
          <w:rFonts w:ascii="Times New Roman" w:eastAsia="黑体" w:hAnsi="Times New Roman" w:hint="eastAsia"/>
          <w:b/>
          <w:kern w:val="0"/>
          <w:sz w:val="28"/>
          <w:szCs w:val="36"/>
        </w:rPr>
        <w:t>国信证券股份有限公司</w:t>
      </w:r>
    </w:p>
    <w:p w14:paraId="124F6464" w14:textId="77777777" w:rsidR="00100695" w:rsidRPr="003A1532" w:rsidRDefault="00100695" w:rsidP="00100695">
      <w:pPr>
        <w:widowControl/>
        <w:adjustRightInd w:val="0"/>
        <w:snapToGrid w:val="0"/>
        <w:spacing w:beforeLines="50" w:before="156" w:line="360" w:lineRule="auto"/>
        <w:jc w:val="center"/>
        <w:rPr>
          <w:rFonts w:ascii="Times New Roman" w:eastAsia="黑体" w:hAnsi="Times New Roman"/>
          <w:b/>
          <w:kern w:val="0"/>
          <w:sz w:val="28"/>
          <w:szCs w:val="36"/>
        </w:rPr>
      </w:pPr>
      <w:r w:rsidRPr="003A1532">
        <w:rPr>
          <w:rFonts w:ascii="Times New Roman" w:eastAsia="黑体" w:hAnsi="Times New Roman" w:hint="eastAsia"/>
          <w:b/>
          <w:kern w:val="0"/>
          <w:sz w:val="28"/>
          <w:szCs w:val="36"/>
        </w:rPr>
        <w:t>关于埃夫</w:t>
      </w:r>
      <w:proofErr w:type="gramStart"/>
      <w:r w:rsidRPr="003A1532">
        <w:rPr>
          <w:rFonts w:ascii="Times New Roman" w:eastAsia="黑体" w:hAnsi="Times New Roman" w:hint="eastAsia"/>
          <w:b/>
          <w:kern w:val="0"/>
          <w:sz w:val="28"/>
          <w:szCs w:val="36"/>
        </w:rPr>
        <w:t>特</w:t>
      </w:r>
      <w:proofErr w:type="gramEnd"/>
      <w:r w:rsidRPr="003A1532">
        <w:rPr>
          <w:rFonts w:ascii="Times New Roman" w:eastAsia="黑体" w:hAnsi="Times New Roman" w:hint="eastAsia"/>
          <w:b/>
          <w:kern w:val="0"/>
          <w:sz w:val="28"/>
          <w:szCs w:val="36"/>
        </w:rPr>
        <w:t>智能装备股份有限公司出售</w:t>
      </w:r>
      <w:r w:rsidRPr="003A1532">
        <w:rPr>
          <w:rFonts w:ascii="Times New Roman" w:eastAsia="黑体" w:hAnsi="Times New Roman" w:hint="eastAsia"/>
          <w:b/>
          <w:kern w:val="0"/>
          <w:sz w:val="28"/>
          <w:szCs w:val="36"/>
        </w:rPr>
        <w:t>G</w:t>
      </w:r>
      <w:r w:rsidRPr="003A1532">
        <w:rPr>
          <w:rFonts w:ascii="Times New Roman" w:eastAsia="黑体" w:hAnsi="Times New Roman"/>
          <w:b/>
          <w:kern w:val="0"/>
          <w:sz w:val="28"/>
          <w:szCs w:val="36"/>
        </w:rPr>
        <w:t>ME</w:t>
      </w:r>
      <w:r w:rsidRPr="003A1532">
        <w:rPr>
          <w:rFonts w:ascii="Times New Roman" w:eastAsia="黑体" w:hAnsi="Times New Roman" w:hint="eastAsia"/>
          <w:b/>
          <w:kern w:val="0"/>
          <w:sz w:val="28"/>
          <w:szCs w:val="36"/>
        </w:rPr>
        <w:t>控制权后</w:t>
      </w:r>
    </w:p>
    <w:p w14:paraId="4BB64A5B" w14:textId="661A1974" w:rsidR="00100695" w:rsidRPr="003A1532" w:rsidRDefault="00100695" w:rsidP="00100695">
      <w:pPr>
        <w:widowControl/>
        <w:adjustRightInd w:val="0"/>
        <w:snapToGrid w:val="0"/>
        <w:spacing w:beforeLines="50" w:before="156" w:line="360" w:lineRule="auto"/>
        <w:jc w:val="center"/>
        <w:rPr>
          <w:rFonts w:ascii="Times New Roman" w:eastAsia="黑体" w:hAnsi="Times New Roman"/>
          <w:b/>
          <w:kern w:val="0"/>
          <w:sz w:val="28"/>
          <w:szCs w:val="36"/>
        </w:rPr>
      </w:pPr>
      <w:r w:rsidRPr="003A1532">
        <w:rPr>
          <w:rFonts w:ascii="Times New Roman" w:eastAsia="黑体" w:hAnsi="Times New Roman" w:hint="eastAsia"/>
          <w:b/>
          <w:kern w:val="0"/>
          <w:sz w:val="28"/>
          <w:szCs w:val="36"/>
        </w:rPr>
        <w:t>形成财务资助及预计新增财务资助暨关联交易的核查意见</w:t>
      </w:r>
    </w:p>
    <w:p w14:paraId="2B4F7261" w14:textId="697C746E" w:rsidR="00100695" w:rsidRPr="003A1532" w:rsidRDefault="00100695" w:rsidP="00100695">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根据《证券发行上市保荐业务管理办法》《上海证券交易所科创板股票上市规则》等有关法律、法规及规范性文件的要求，国信证券股份有限公司（以下简称“国信证券”或“保荐机构”）作为埃夫</w:t>
      </w:r>
      <w:proofErr w:type="gramStart"/>
      <w:r w:rsidRPr="003A1532">
        <w:rPr>
          <w:rFonts w:ascii="Times New Roman" w:hAnsi="Times New Roman" w:hint="eastAsia"/>
          <w:sz w:val="24"/>
          <w:szCs w:val="28"/>
        </w:rPr>
        <w:t>特</w:t>
      </w:r>
      <w:proofErr w:type="gramEnd"/>
      <w:r w:rsidRPr="003A1532">
        <w:rPr>
          <w:rFonts w:ascii="Times New Roman" w:hAnsi="Times New Roman" w:hint="eastAsia"/>
          <w:sz w:val="24"/>
          <w:szCs w:val="28"/>
        </w:rPr>
        <w:t>智能装备股份有限公司（以下简称“埃夫特”或“公司”）首次公开发行股票的保荐机构，认真、审慎的核查</w:t>
      </w:r>
      <w:proofErr w:type="gramStart"/>
      <w:r w:rsidRPr="003A1532">
        <w:rPr>
          <w:rFonts w:ascii="Times New Roman" w:hAnsi="Times New Roman" w:hint="eastAsia"/>
          <w:sz w:val="24"/>
          <w:szCs w:val="28"/>
        </w:rPr>
        <w:t>了埃夫特</w:t>
      </w:r>
      <w:proofErr w:type="gramEnd"/>
      <w:r w:rsidRPr="003A1532">
        <w:rPr>
          <w:rFonts w:ascii="Times New Roman" w:hAnsi="Times New Roman" w:hint="eastAsia"/>
          <w:sz w:val="24"/>
          <w:szCs w:val="28"/>
        </w:rPr>
        <w:t>出售</w:t>
      </w:r>
      <w:r w:rsidRPr="003A1532">
        <w:rPr>
          <w:rFonts w:ascii="Times New Roman" w:hAnsi="Times New Roman" w:hint="eastAsia"/>
          <w:sz w:val="24"/>
          <w:szCs w:val="28"/>
        </w:rPr>
        <w:t>GME</w:t>
      </w:r>
      <w:r w:rsidRPr="003A1532">
        <w:rPr>
          <w:rFonts w:ascii="Times New Roman" w:hAnsi="Times New Roman" w:hint="eastAsia"/>
          <w:sz w:val="24"/>
          <w:szCs w:val="28"/>
        </w:rPr>
        <w:t>控制权后形成财务资助及预计新增财务资助暨关联交易的事项，核查情况及核查意见如下：</w:t>
      </w:r>
    </w:p>
    <w:p w14:paraId="21E3CD9B" w14:textId="64826089" w:rsidR="00100695" w:rsidRPr="003A1532" w:rsidRDefault="00100695" w:rsidP="00100695">
      <w:pPr>
        <w:spacing w:beforeLines="50" w:before="156" w:afterLines="50" w:after="156" w:line="360" w:lineRule="auto"/>
        <w:ind w:firstLineChars="200" w:firstLine="482"/>
        <w:outlineLvl w:val="0"/>
        <w:rPr>
          <w:rFonts w:ascii="Times New Roman" w:hAnsi="Times New Roman"/>
          <w:b/>
          <w:bCs/>
          <w:sz w:val="24"/>
          <w:szCs w:val="32"/>
        </w:rPr>
      </w:pPr>
      <w:r w:rsidRPr="003A1532">
        <w:rPr>
          <w:rFonts w:ascii="Times New Roman" w:hAnsi="Times New Roman"/>
          <w:b/>
          <w:bCs/>
          <w:sz w:val="24"/>
          <w:szCs w:val="32"/>
        </w:rPr>
        <w:t>一、</w:t>
      </w:r>
      <w:r w:rsidR="00FE3A44" w:rsidRPr="003A1532">
        <w:rPr>
          <w:rFonts w:ascii="Times New Roman" w:hAnsi="Times New Roman" w:hint="eastAsia"/>
          <w:b/>
          <w:bCs/>
          <w:sz w:val="24"/>
          <w:szCs w:val="32"/>
        </w:rPr>
        <w:t>财务资助暨关联交易情况</w:t>
      </w:r>
      <w:r w:rsidRPr="003A1532">
        <w:rPr>
          <w:rFonts w:ascii="Times New Roman" w:hAnsi="Times New Roman" w:hint="eastAsia"/>
          <w:b/>
          <w:bCs/>
          <w:sz w:val="24"/>
          <w:szCs w:val="32"/>
        </w:rPr>
        <w:t>概述</w:t>
      </w:r>
    </w:p>
    <w:p w14:paraId="1957CB0E" w14:textId="77777777" w:rsidR="00FE3A44" w:rsidRPr="003A1532" w:rsidRDefault="00FE3A44" w:rsidP="00FE3A44">
      <w:pPr>
        <w:spacing w:beforeLines="50" w:before="156" w:line="360" w:lineRule="auto"/>
        <w:ind w:firstLineChars="200" w:firstLine="482"/>
        <w:outlineLvl w:val="1"/>
        <w:rPr>
          <w:rFonts w:ascii="Times New Roman" w:hAnsi="Times New Roman"/>
          <w:b/>
          <w:sz w:val="24"/>
          <w:szCs w:val="32"/>
        </w:rPr>
      </w:pPr>
      <w:r w:rsidRPr="003A1532">
        <w:rPr>
          <w:rFonts w:ascii="Times New Roman" w:hAnsi="Times New Roman" w:hint="eastAsia"/>
          <w:b/>
          <w:sz w:val="24"/>
          <w:szCs w:val="32"/>
        </w:rPr>
        <w:t>（一）公司为</w:t>
      </w:r>
      <w:r w:rsidRPr="003A1532">
        <w:rPr>
          <w:rFonts w:ascii="Times New Roman" w:hAnsi="Times New Roman" w:hint="eastAsia"/>
          <w:b/>
          <w:sz w:val="24"/>
          <w:szCs w:val="32"/>
        </w:rPr>
        <w:t>GME</w:t>
      </w:r>
      <w:r w:rsidRPr="003A1532">
        <w:rPr>
          <w:rFonts w:ascii="Times New Roman" w:hAnsi="Times New Roman" w:hint="eastAsia"/>
          <w:b/>
          <w:sz w:val="24"/>
          <w:szCs w:val="32"/>
        </w:rPr>
        <w:t>提供财务资助存续情况</w:t>
      </w:r>
    </w:p>
    <w:p w14:paraId="5815851E" w14:textId="67A799CF" w:rsidR="00FE3A44" w:rsidRPr="003A1532" w:rsidRDefault="00FE3A44" w:rsidP="00FE3A44">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截至本</w:t>
      </w:r>
      <w:r w:rsidR="00F071A1" w:rsidRPr="003A1532">
        <w:rPr>
          <w:rFonts w:ascii="Times New Roman" w:hAnsi="Times New Roman" w:hint="eastAsia"/>
          <w:sz w:val="24"/>
          <w:szCs w:val="28"/>
        </w:rPr>
        <w:t>核查意见出具</w:t>
      </w:r>
      <w:r w:rsidRPr="003A1532">
        <w:rPr>
          <w:rFonts w:ascii="Times New Roman" w:hAnsi="Times New Roman" w:hint="eastAsia"/>
          <w:sz w:val="24"/>
          <w:szCs w:val="28"/>
        </w:rPr>
        <w:t>日，公司</w:t>
      </w:r>
      <w:r w:rsidR="00F071A1" w:rsidRPr="003A1532">
        <w:rPr>
          <w:rFonts w:ascii="Times New Roman" w:hAnsi="Times New Roman" w:hint="eastAsia"/>
          <w:sz w:val="24"/>
          <w:szCs w:val="28"/>
        </w:rPr>
        <w:t>通过子公司</w:t>
      </w:r>
      <w:r w:rsidR="00F071A1" w:rsidRPr="003A1532">
        <w:rPr>
          <w:rFonts w:ascii="Times New Roman" w:hAnsi="Times New Roman" w:hint="eastAsia"/>
          <w:sz w:val="24"/>
          <w:szCs w:val="28"/>
        </w:rPr>
        <w:t>EFORT W.F.C. Holding S.p.A.</w:t>
      </w:r>
      <w:r w:rsidR="00F071A1" w:rsidRPr="003A1532">
        <w:rPr>
          <w:rFonts w:ascii="Times New Roman" w:hAnsi="Times New Roman" w:hint="eastAsia"/>
          <w:sz w:val="24"/>
          <w:szCs w:val="28"/>
        </w:rPr>
        <w:t>（</w:t>
      </w:r>
      <w:proofErr w:type="gramStart"/>
      <w:r w:rsidR="00F071A1" w:rsidRPr="003A1532">
        <w:rPr>
          <w:rFonts w:ascii="Times New Roman" w:hAnsi="Times New Roman" w:hint="eastAsia"/>
          <w:sz w:val="24"/>
          <w:szCs w:val="28"/>
        </w:rPr>
        <w:t>以下简称“</w:t>
      </w:r>
      <w:proofErr w:type="gramEnd"/>
      <w:r w:rsidR="00F071A1" w:rsidRPr="003A1532">
        <w:rPr>
          <w:rFonts w:ascii="Times New Roman" w:hAnsi="Times New Roman" w:hint="eastAsia"/>
          <w:sz w:val="24"/>
          <w:szCs w:val="28"/>
        </w:rPr>
        <w:t>WFC</w:t>
      </w:r>
      <w:r w:rsidR="00F071A1" w:rsidRPr="003A1532">
        <w:rPr>
          <w:rFonts w:ascii="Times New Roman" w:hAnsi="Times New Roman" w:hint="eastAsia"/>
          <w:sz w:val="24"/>
          <w:szCs w:val="28"/>
        </w:rPr>
        <w:t>”）</w:t>
      </w:r>
      <w:r w:rsidRPr="003A1532">
        <w:rPr>
          <w:rFonts w:ascii="Times New Roman" w:hAnsi="Times New Roman" w:hint="eastAsia"/>
          <w:sz w:val="24"/>
          <w:szCs w:val="28"/>
        </w:rPr>
        <w:t>向</w:t>
      </w:r>
      <w:r w:rsidR="00F071A1" w:rsidRPr="003A1532">
        <w:rPr>
          <w:rFonts w:ascii="Times New Roman" w:hAnsi="Times New Roman" w:hint="eastAsia"/>
          <w:sz w:val="24"/>
          <w:szCs w:val="28"/>
        </w:rPr>
        <w:t>GME Aerospace Ind</w:t>
      </w:r>
      <w:r w:rsidR="00F071A1" w:rsidRPr="003A1532">
        <w:rPr>
          <w:rFonts w:ascii="Times New Roman" w:hAnsi="Times New Roman" w:hint="eastAsia"/>
          <w:sz w:val="24"/>
          <w:szCs w:val="28"/>
        </w:rPr>
        <w:t>ú</w:t>
      </w:r>
      <w:r w:rsidR="00F071A1" w:rsidRPr="003A1532">
        <w:rPr>
          <w:rFonts w:ascii="Times New Roman" w:hAnsi="Times New Roman" w:hint="eastAsia"/>
          <w:sz w:val="24"/>
          <w:szCs w:val="28"/>
        </w:rPr>
        <w:t>stria de Material Composto S.A.</w:t>
      </w:r>
      <w:r w:rsidR="00F071A1" w:rsidRPr="003A1532">
        <w:rPr>
          <w:rFonts w:ascii="Times New Roman" w:hAnsi="Times New Roman" w:hint="eastAsia"/>
          <w:sz w:val="24"/>
          <w:szCs w:val="28"/>
        </w:rPr>
        <w:t>（以下简称“</w:t>
      </w:r>
      <w:r w:rsidR="00F071A1" w:rsidRPr="003A1532">
        <w:rPr>
          <w:rFonts w:ascii="Times New Roman" w:hAnsi="Times New Roman" w:hint="eastAsia"/>
          <w:sz w:val="24"/>
          <w:szCs w:val="28"/>
        </w:rPr>
        <w:t>GME</w:t>
      </w:r>
      <w:r w:rsidR="00F071A1" w:rsidRPr="003A1532">
        <w:rPr>
          <w:rFonts w:ascii="Times New Roman" w:hAnsi="Times New Roman" w:hint="eastAsia"/>
          <w:sz w:val="24"/>
          <w:szCs w:val="28"/>
        </w:rPr>
        <w:t>”）</w:t>
      </w:r>
      <w:r w:rsidRPr="003A1532">
        <w:rPr>
          <w:rFonts w:ascii="Times New Roman" w:hAnsi="Times New Roman" w:hint="eastAsia"/>
          <w:sz w:val="24"/>
          <w:szCs w:val="28"/>
        </w:rPr>
        <w:t>提供财务资助，借款余额</w:t>
      </w:r>
      <w:r w:rsidRPr="003A1532">
        <w:rPr>
          <w:rFonts w:ascii="Times New Roman" w:hAnsi="Times New Roman" w:hint="eastAsia"/>
          <w:sz w:val="24"/>
          <w:szCs w:val="28"/>
        </w:rPr>
        <w:t>400</w:t>
      </w:r>
      <w:r w:rsidRPr="003A1532">
        <w:rPr>
          <w:rFonts w:ascii="Times New Roman" w:hAnsi="Times New Roman" w:hint="eastAsia"/>
          <w:sz w:val="24"/>
          <w:szCs w:val="28"/>
        </w:rPr>
        <w:t>万欧元，借款利率为</w:t>
      </w:r>
      <w:r w:rsidRPr="003A1532">
        <w:rPr>
          <w:rFonts w:ascii="Times New Roman" w:hAnsi="Times New Roman" w:hint="eastAsia"/>
          <w:sz w:val="24"/>
          <w:szCs w:val="28"/>
        </w:rPr>
        <w:t>3</w:t>
      </w:r>
      <w:r w:rsidRPr="003A1532">
        <w:rPr>
          <w:rFonts w:ascii="Times New Roman" w:hAnsi="Times New Roman" w:hint="eastAsia"/>
          <w:sz w:val="24"/>
          <w:szCs w:val="28"/>
        </w:rPr>
        <w:t>个月期欧洲银行间欧元同业拆借利率</w:t>
      </w:r>
      <w:r w:rsidRPr="003A1532">
        <w:rPr>
          <w:rFonts w:ascii="Times New Roman" w:hAnsi="Times New Roman" w:hint="eastAsia"/>
          <w:sz w:val="24"/>
          <w:szCs w:val="28"/>
        </w:rPr>
        <w:t>+5.93%</w:t>
      </w:r>
      <w:r w:rsidRPr="003A1532">
        <w:rPr>
          <w:rFonts w:ascii="Times New Roman" w:hAnsi="Times New Roman" w:hint="eastAsia"/>
          <w:sz w:val="24"/>
          <w:szCs w:val="28"/>
        </w:rPr>
        <w:t>。</w:t>
      </w:r>
    </w:p>
    <w:p w14:paraId="4CA0B01B" w14:textId="77777777" w:rsidR="00FE3A44" w:rsidRPr="003A1532" w:rsidRDefault="00FE3A44" w:rsidP="00F071A1">
      <w:pPr>
        <w:spacing w:beforeLines="50" w:before="156" w:line="360" w:lineRule="auto"/>
        <w:ind w:firstLineChars="200" w:firstLine="482"/>
        <w:outlineLvl w:val="1"/>
        <w:rPr>
          <w:rFonts w:ascii="Times New Roman" w:hAnsi="Times New Roman"/>
          <w:b/>
          <w:sz w:val="24"/>
          <w:szCs w:val="32"/>
        </w:rPr>
      </w:pPr>
      <w:r w:rsidRPr="003A1532">
        <w:rPr>
          <w:rFonts w:ascii="Times New Roman" w:hAnsi="Times New Roman" w:hint="eastAsia"/>
          <w:b/>
          <w:sz w:val="24"/>
          <w:szCs w:val="32"/>
        </w:rPr>
        <w:t>（二）存续财务资助安排</w:t>
      </w:r>
    </w:p>
    <w:p w14:paraId="4B90DE57" w14:textId="063B06E4" w:rsidR="00FE3A44" w:rsidRPr="003A1532" w:rsidRDefault="00F071A1" w:rsidP="00FE3A44">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公司</w:t>
      </w:r>
      <w:r w:rsidR="0033353F" w:rsidRPr="003A1532">
        <w:rPr>
          <w:rFonts w:ascii="Times New Roman" w:hAnsi="Times New Roman" w:hint="eastAsia"/>
          <w:sz w:val="24"/>
          <w:szCs w:val="28"/>
        </w:rPr>
        <w:t>全资子公司</w:t>
      </w:r>
      <w:r w:rsidR="0033353F" w:rsidRPr="003A1532">
        <w:rPr>
          <w:rFonts w:ascii="Times New Roman" w:hAnsi="Times New Roman" w:hint="eastAsia"/>
          <w:sz w:val="24"/>
          <w:szCs w:val="28"/>
        </w:rPr>
        <w:t>WFC</w:t>
      </w:r>
      <w:r w:rsidRPr="003A1532">
        <w:rPr>
          <w:rFonts w:ascii="Times New Roman" w:hAnsi="Times New Roman" w:hint="eastAsia"/>
          <w:sz w:val="24"/>
          <w:szCs w:val="28"/>
        </w:rPr>
        <w:t>拟出售</w:t>
      </w:r>
      <w:r w:rsidRPr="003A1532">
        <w:rPr>
          <w:rFonts w:ascii="Times New Roman" w:hAnsi="Times New Roman" w:hint="eastAsia"/>
          <w:sz w:val="24"/>
          <w:szCs w:val="28"/>
        </w:rPr>
        <w:t>G</w:t>
      </w:r>
      <w:r w:rsidRPr="003A1532">
        <w:rPr>
          <w:rFonts w:ascii="Times New Roman" w:hAnsi="Times New Roman"/>
          <w:sz w:val="24"/>
          <w:szCs w:val="28"/>
        </w:rPr>
        <w:t>ME51%</w:t>
      </w:r>
      <w:r w:rsidRPr="003A1532">
        <w:rPr>
          <w:rFonts w:ascii="Times New Roman" w:hAnsi="Times New Roman" w:hint="eastAsia"/>
          <w:sz w:val="24"/>
          <w:szCs w:val="28"/>
        </w:rPr>
        <w:t>股权给关联方</w:t>
      </w:r>
      <w:proofErr w:type="spellStart"/>
      <w:r w:rsidRPr="003A1532">
        <w:rPr>
          <w:rFonts w:ascii="Times New Roman" w:hAnsi="Times New Roman" w:hint="eastAsia"/>
          <w:sz w:val="24"/>
          <w:szCs w:val="28"/>
        </w:rPr>
        <w:t>Spectre</w:t>
      </w:r>
      <w:proofErr w:type="spellEnd"/>
      <w:r w:rsidRPr="003A1532">
        <w:rPr>
          <w:rFonts w:ascii="Times New Roman" w:hAnsi="Times New Roman" w:hint="eastAsia"/>
          <w:sz w:val="24"/>
          <w:szCs w:val="28"/>
        </w:rPr>
        <w:t xml:space="preserve"> </w:t>
      </w:r>
      <w:proofErr w:type="spellStart"/>
      <w:r w:rsidRPr="003A1532">
        <w:rPr>
          <w:rFonts w:ascii="Times New Roman" w:hAnsi="Times New Roman" w:hint="eastAsia"/>
          <w:sz w:val="24"/>
          <w:szCs w:val="28"/>
        </w:rPr>
        <w:t>S.r.l</w:t>
      </w:r>
      <w:proofErr w:type="spellEnd"/>
      <w:r w:rsidRPr="003A1532">
        <w:rPr>
          <w:rFonts w:ascii="Times New Roman" w:hAnsi="Times New Roman" w:hint="eastAsia"/>
          <w:sz w:val="24"/>
          <w:szCs w:val="28"/>
        </w:rPr>
        <w:t>.</w:t>
      </w:r>
      <w:r w:rsidRPr="003A1532">
        <w:rPr>
          <w:rFonts w:ascii="Times New Roman" w:hAnsi="Times New Roman" w:hint="eastAsia"/>
          <w:sz w:val="24"/>
          <w:szCs w:val="28"/>
        </w:rPr>
        <w:t>（</w:t>
      </w:r>
      <w:proofErr w:type="gramStart"/>
      <w:r w:rsidRPr="003A1532">
        <w:rPr>
          <w:rFonts w:ascii="Times New Roman" w:hAnsi="Times New Roman" w:hint="eastAsia"/>
          <w:sz w:val="24"/>
          <w:szCs w:val="28"/>
        </w:rPr>
        <w:t>以下简称“</w:t>
      </w:r>
      <w:proofErr w:type="spellStart"/>
      <w:proofErr w:type="gramEnd"/>
      <w:r w:rsidRPr="003A1532">
        <w:rPr>
          <w:rFonts w:ascii="Times New Roman" w:hAnsi="Times New Roman" w:hint="eastAsia"/>
          <w:sz w:val="24"/>
          <w:szCs w:val="28"/>
        </w:rPr>
        <w:t>Spectre</w:t>
      </w:r>
      <w:proofErr w:type="spellEnd"/>
      <w:r w:rsidRPr="003A1532">
        <w:rPr>
          <w:rFonts w:ascii="Times New Roman" w:hAnsi="Times New Roman" w:hint="eastAsia"/>
          <w:sz w:val="24"/>
          <w:szCs w:val="28"/>
        </w:rPr>
        <w:t>”）。若前述股权转让完成，</w:t>
      </w:r>
      <w:r w:rsidRPr="003A1532">
        <w:rPr>
          <w:rFonts w:ascii="Times New Roman" w:hAnsi="Times New Roman" w:hint="eastAsia"/>
          <w:sz w:val="24"/>
          <w:szCs w:val="28"/>
        </w:rPr>
        <w:t>GME</w:t>
      </w:r>
      <w:r w:rsidRPr="003A1532">
        <w:rPr>
          <w:rFonts w:ascii="Times New Roman" w:hAnsi="Times New Roman" w:hint="eastAsia"/>
          <w:sz w:val="24"/>
          <w:szCs w:val="28"/>
        </w:rPr>
        <w:t>将不再纳入公司合并报表范围且成为公司关联方。</w:t>
      </w:r>
      <w:r w:rsidR="00FE3A44" w:rsidRPr="003A1532">
        <w:rPr>
          <w:rFonts w:ascii="Times New Roman" w:hAnsi="Times New Roman" w:hint="eastAsia"/>
          <w:sz w:val="24"/>
          <w:szCs w:val="28"/>
        </w:rPr>
        <w:t>基于公司拟对原合并报表范围内日常经营性借款的延续，在合同到期前公司将对原财务资助进行延期。同时于交割日前</w:t>
      </w:r>
      <w:r w:rsidR="00FE3A44" w:rsidRPr="003A1532">
        <w:rPr>
          <w:rFonts w:ascii="Times New Roman" w:hAnsi="Times New Roman" w:hint="eastAsia"/>
          <w:sz w:val="24"/>
          <w:szCs w:val="28"/>
        </w:rPr>
        <w:t>GME</w:t>
      </w:r>
      <w:r w:rsidR="00FE3A44" w:rsidRPr="003A1532">
        <w:rPr>
          <w:rFonts w:ascii="Times New Roman" w:hAnsi="Times New Roman" w:hint="eastAsia"/>
          <w:sz w:val="24"/>
          <w:szCs w:val="28"/>
        </w:rPr>
        <w:t>与</w:t>
      </w:r>
      <w:proofErr w:type="spellStart"/>
      <w:r w:rsidR="00FE3A44" w:rsidRPr="003A1532">
        <w:rPr>
          <w:rFonts w:ascii="Times New Roman" w:hAnsi="Times New Roman" w:hint="eastAsia"/>
          <w:sz w:val="24"/>
          <w:szCs w:val="28"/>
        </w:rPr>
        <w:t>Spectre</w:t>
      </w:r>
      <w:proofErr w:type="spellEnd"/>
      <w:r w:rsidR="00FE3A44" w:rsidRPr="003A1532">
        <w:rPr>
          <w:rFonts w:ascii="Times New Roman" w:hAnsi="Times New Roman" w:hint="eastAsia"/>
          <w:sz w:val="24"/>
          <w:szCs w:val="28"/>
        </w:rPr>
        <w:t>将签订借款协议，</w:t>
      </w:r>
      <w:proofErr w:type="spellStart"/>
      <w:r w:rsidR="00FE3A44" w:rsidRPr="003A1532">
        <w:rPr>
          <w:rFonts w:ascii="Times New Roman" w:hAnsi="Times New Roman" w:hint="eastAsia"/>
          <w:sz w:val="24"/>
          <w:szCs w:val="28"/>
        </w:rPr>
        <w:t>Spectre</w:t>
      </w:r>
      <w:proofErr w:type="spellEnd"/>
      <w:r w:rsidR="00FE3A44" w:rsidRPr="003A1532">
        <w:rPr>
          <w:rFonts w:ascii="Times New Roman" w:hAnsi="Times New Roman" w:hint="eastAsia"/>
          <w:sz w:val="24"/>
          <w:szCs w:val="28"/>
        </w:rPr>
        <w:t>将为</w:t>
      </w:r>
      <w:r w:rsidR="00FE3A44" w:rsidRPr="003A1532">
        <w:rPr>
          <w:rFonts w:ascii="Times New Roman" w:hAnsi="Times New Roman" w:hint="eastAsia"/>
          <w:sz w:val="24"/>
          <w:szCs w:val="28"/>
        </w:rPr>
        <w:t>GME</w:t>
      </w:r>
      <w:r w:rsidR="00FE3A44" w:rsidRPr="003A1532">
        <w:rPr>
          <w:rFonts w:ascii="Times New Roman" w:hAnsi="Times New Roman" w:hint="eastAsia"/>
          <w:sz w:val="24"/>
          <w:szCs w:val="28"/>
        </w:rPr>
        <w:t>提供股东贷款</w:t>
      </w:r>
      <w:r w:rsidR="00FE3A44" w:rsidRPr="003A1532">
        <w:rPr>
          <w:rFonts w:ascii="Times New Roman" w:hAnsi="Times New Roman" w:hint="eastAsia"/>
          <w:sz w:val="24"/>
          <w:szCs w:val="28"/>
        </w:rPr>
        <w:t>400</w:t>
      </w:r>
      <w:r w:rsidR="00FE3A44" w:rsidRPr="003A1532">
        <w:rPr>
          <w:rFonts w:ascii="Times New Roman" w:hAnsi="Times New Roman" w:hint="eastAsia"/>
          <w:sz w:val="24"/>
          <w:szCs w:val="28"/>
        </w:rPr>
        <w:t>万欧元，同时</w:t>
      </w:r>
      <w:r w:rsidR="00FE3A44" w:rsidRPr="003A1532">
        <w:rPr>
          <w:rFonts w:ascii="Times New Roman" w:hAnsi="Times New Roman" w:hint="eastAsia"/>
          <w:sz w:val="24"/>
          <w:szCs w:val="28"/>
        </w:rPr>
        <w:t>GME</w:t>
      </w:r>
      <w:r w:rsidR="00FE3A44" w:rsidRPr="003A1532">
        <w:rPr>
          <w:rFonts w:ascii="Times New Roman" w:hAnsi="Times New Roman" w:hint="eastAsia"/>
          <w:sz w:val="24"/>
          <w:szCs w:val="28"/>
        </w:rPr>
        <w:t>将向</w:t>
      </w:r>
      <w:r w:rsidR="00FE3A44" w:rsidRPr="003A1532">
        <w:rPr>
          <w:rFonts w:ascii="Times New Roman" w:hAnsi="Times New Roman" w:hint="eastAsia"/>
          <w:sz w:val="24"/>
          <w:szCs w:val="28"/>
        </w:rPr>
        <w:t>WFC</w:t>
      </w:r>
      <w:r w:rsidR="00FE3A44" w:rsidRPr="003A1532">
        <w:rPr>
          <w:rFonts w:ascii="Times New Roman" w:hAnsi="Times New Roman" w:hint="eastAsia"/>
          <w:sz w:val="24"/>
          <w:szCs w:val="28"/>
        </w:rPr>
        <w:t>归还</w:t>
      </w:r>
      <w:r w:rsidR="00FE3A44" w:rsidRPr="003A1532">
        <w:rPr>
          <w:rFonts w:ascii="Times New Roman" w:hAnsi="Times New Roman" w:hint="eastAsia"/>
          <w:sz w:val="24"/>
          <w:szCs w:val="28"/>
        </w:rPr>
        <w:t>15.68</w:t>
      </w:r>
      <w:r w:rsidR="00FE3A44" w:rsidRPr="003A1532">
        <w:rPr>
          <w:rFonts w:ascii="Times New Roman" w:hAnsi="Times New Roman" w:hint="eastAsia"/>
          <w:sz w:val="24"/>
          <w:szCs w:val="28"/>
        </w:rPr>
        <w:t>万欧元股东贷款，以保障各方股东按股份占比提供等比例股东借款。</w:t>
      </w:r>
    </w:p>
    <w:p w14:paraId="0FAE83FA" w14:textId="77777777" w:rsidR="00FE3A44" w:rsidRPr="003A1532" w:rsidRDefault="00FE3A44" w:rsidP="00F071A1">
      <w:pPr>
        <w:spacing w:beforeLines="50" w:before="156" w:line="360" w:lineRule="auto"/>
        <w:ind w:firstLineChars="200" w:firstLine="482"/>
        <w:outlineLvl w:val="1"/>
        <w:rPr>
          <w:rFonts w:ascii="Times New Roman" w:hAnsi="Times New Roman"/>
          <w:b/>
          <w:sz w:val="24"/>
          <w:szCs w:val="32"/>
        </w:rPr>
      </w:pPr>
      <w:r w:rsidRPr="003A1532">
        <w:rPr>
          <w:rFonts w:ascii="Times New Roman" w:hAnsi="Times New Roman" w:hint="eastAsia"/>
          <w:b/>
          <w:sz w:val="24"/>
          <w:szCs w:val="32"/>
        </w:rPr>
        <w:t>（三）未来对</w:t>
      </w:r>
      <w:r w:rsidRPr="003A1532">
        <w:rPr>
          <w:rFonts w:ascii="Times New Roman" w:hAnsi="Times New Roman" w:hint="eastAsia"/>
          <w:b/>
          <w:sz w:val="24"/>
          <w:szCs w:val="32"/>
        </w:rPr>
        <w:t>GME</w:t>
      </w:r>
      <w:r w:rsidRPr="003A1532">
        <w:rPr>
          <w:rFonts w:ascii="Times New Roman" w:hAnsi="Times New Roman" w:hint="eastAsia"/>
          <w:b/>
          <w:sz w:val="24"/>
          <w:szCs w:val="32"/>
        </w:rPr>
        <w:t>财务资助安排</w:t>
      </w:r>
    </w:p>
    <w:p w14:paraId="3509D587" w14:textId="54653F9D" w:rsidR="00FE3A44" w:rsidRPr="003A1532" w:rsidRDefault="00FE3A44" w:rsidP="00FE3A44">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根据公司与</w:t>
      </w:r>
      <w:proofErr w:type="spellStart"/>
      <w:r w:rsidRPr="003A1532">
        <w:rPr>
          <w:rFonts w:ascii="Times New Roman" w:hAnsi="Times New Roman" w:hint="eastAsia"/>
          <w:sz w:val="24"/>
          <w:szCs w:val="28"/>
        </w:rPr>
        <w:t>Spectre</w:t>
      </w:r>
      <w:proofErr w:type="spellEnd"/>
      <w:r w:rsidRPr="003A1532">
        <w:rPr>
          <w:rFonts w:ascii="Times New Roman" w:hAnsi="Times New Roman" w:hint="eastAsia"/>
          <w:sz w:val="24"/>
          <w:szCs w:val="28"/>
        </w:rPr>
        <w:t>签订的附条件生效的《股权转让协议》：本次控股权转让后</w:t>
      </w:r>
      <w:r w:rsidRPr="003A1532">
        <w:rPr>
          <w:rFonts w:ascii="Times New Roman" w:hAnsi="Times New Roman" w:hint="eastAsia"/>
          <w:sz w:val="24"/>
          <w:szCs w:val="28"/>
        </w:rPr>
        <w:t>GME</w:t>
      </w:r>
      <w:r w:rsidRPr="003A1532">
        <w:rPr>
          <w:rFonts w:ascii="Times New Roman" w:hAnsi="Times New Roman" w:hint="eastAsia"/>
          <w:sz w:val="24"/>
          <w:szCs w:val="28"/>
        </w:rPr>
        <w:t>经营主体仍然续存，未来如</w:t>
      </w:r>
      <w:r w:rsidRPr="003A1532">
        <w:rPr>
          <w:rFonts w:ascii="Times New Roman" w:hAnsi="Times New Roman" w:hint="eastAsia"/>
          <w:sz w:val="24"/>
          <w:szCs w:val="28"/>
        </w:rPr>
        <w:t>GME</w:t>
      </w:r>
      <w:r w:rsidRPr="003A1532">
        <w:rPr>
          <w:rFonts w:ascii="Times New Roman" w:hAnsi="Times New Roman" w:hint="eastAsia"/>
          <w:sz w:val="24"/>
          <w:szCs w:val="28"/>
        </w:rPr>
        <w:t>经营所需的财务资助，双方同意，经各方股东履行相关审批及信息披露程序后，股东方将按照股份占比继续提供总额不低于</w:t>
      </w:r>
      <w:r w:rsidRPr="003A1532">
        <w:rPr>
          <w:rFonts w:ascii="Times New Roman" w:hAnsi="Times New Roman" w:hint="eastAsia"/>
          <w:sz w:val="24"/>
          <w:szCs w:val="28"/>
        </w:rPr>
        <w:t>500</w:t>
      </w:r>
      <w:r w:rsidRPr="003A1532">
        <w:rPr>
          <w:rFonts w:ascii="Times New Roman" w:hAnsi="Times New Roman" w:hint="eastAsia"/>
          <w:sz w:val="24"/>
          <w:szCs w:val="28"/>
        </w:rPr>
        <w:t>万</w:t>
      </w:r>
      <w:proofErr w:type="gramStart"/>
      <w:r w:rsidRPr="003A1532">
        <w:rPr>
          <w:rFonts w:ascii="Times New Roman" w:hAnsi="Times New Roman" w:hint="eastAsia"/>
          <w:sz w:val="24"/>
          <w:szCs w:val="28"/>
        </w:rPr>
        <w:t>欧元且</w:t>
      </w:r>
      <w:proofErr w:type="gramEnd"/>
      <w:r w:rsidRPr="003A1532">
        <w:rPr>
          <w:rFonts w:ascii="Times New Roman" w:hAnsi="Times New Roman" w:hint="eastAsia"/>
          <w:sz w:val="24"/>
          <w:szCs w:val="28"/>
        </w:rPr>
        <w:lastRenderedPageBreak/>
        <w:t>不超过</w:t>
      </w:r>
      <w:r w:rsidRPr="003A1532">
        <w:rPr>
          <w:rFonts w:ascii="Times New Roman" w:hAnsi="Times New Roman" w:hint="eastAsia"/>
          <w:sz w:val="24"/>
          <w:szCs w:val="28"/>
        </w:rPr>
        <w:t>1,000</w:t>
      </w:r>
      <w:r w:rsidRPr="003A1532">
        <w:rPr>
          <w:rFonts w:ascii="Times New Roman" w:hAnsi="Times New Roman" w:hint="eastAsia"/>
          <w:sz w:val="24"/>
          <w:szCs w:val="28"/>
        </w:rPr>
        <w:t>万欧元的股东借款。</w:t>
      </w:r>
    </w:p>
    <w:p w14:paraId="55516F5D" w14:textId="77777777" w:rsidR="00FE3A44" w:rsidRPr="003A1532" w:rsidRDefault="00FE3A44" w:rsidP="00F071A1">
      <w:pPr>
        <w:spacing w:beforeLines="50" w:before="156" w:line="360" w:lineRule="auto"/>
        <w:ind w:firstLineChars="200" w:firstLine="482"/>
        <w:outlineLvl w:val="1"/>
        <w:rPr>
          <w:rFonts w:ascii="Times New Roman" w:hAnsi="Times New Roman"/>
          <w:b/>
          <w:sz w:val="24"/>
          <w:szCs w:val="32"/>
        </w:rPr>
      </w:pPr>
      <w:r w:rsidRPr="003A1532">
        <w:rPr>
          <w:rFonts w:ascii="Times New Roman" w:hAnsi="Times New Roman" w:hint="eastAsia"/>
          <w:b/>
          <w:sz w:val="24"/>
          <w:szCs w:val="32"/>
        </w:rPr>
        <w:t>（四）决策程序</w:t>
      </w:r>
    </w:p>
    <w:p w14:paraId="302A1C07" w14:textId="77777777" w:rsidR="00FE3A44" w:rsidRPr="003A1532" w:rsidRDefault="00FE3A44" w:rsidP="00FE3A44">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公司已于</w:t>
      </w:r>
      <w:r w:rsidRPr="003A1532">
        <w:rPr>
          <w:rFonts w:ascii="Times New Roman" w:hAnsi="Times New Roman" w:hint="eastAsia"/>
          <w:sz w:val="24"/>
          <w:szCs w:val="28"/>
        </w:rPr>
        <w:t>2023</w:t>
      </w:r>
      <w:r w:rsidRPr="003A1532">
        <w:rPr>
          <w:rFonts w:ascii="Times New Roman" w:hAnsi="Times New Roman" w:hint="eastAsia"/>
          <w:sz w:val="24"/>
          <w:szCs w:val="28"/>
        </w:rPr>
        <w:t>年</w:t>
      </w:r>
      <w:r w:rsidRPr="003A1532">
        <w:rPr>
          <w:rFonts w:ascii="Times New Roman" w:hAnsi="Times New Roman" w:hint="eastAsia"/>
          <w:sz w:val="24"/>
          <w:szCs w:val="28"/>
        </w:rPr>
        <w:t>11</w:t>
      </w:r>
      <w:r w:rsidRPr="003A1532">
        <w:rPr>
          <w:rFonts w:ascii="Times New Roman" w:hAnsi="Times New Roman" w:hint="eastAsia"/>
          <w:sz w:val="24"/>
          <w:szCs w:val="28"/>
        </w:rPr>
        <w:t>月</w:t>
      </w:r>
      <w:r w:rsidRPr="003A1532">
        <w:rPr>
          <w:rFonts w:ascii="Times New Roman" w:hAnsi="Times New Roman" w:hint="eastAsia"/>
          <w:sz w:val="24"/>
          <w:szCs w:val="28"/>
        </w:rPr>
        <w:t>28</w:t>
      </w:r>
      <w:r w:rsidRPr="003A1532">
        <w:rPr>
          <w:rFonts w:ascii="Times New Roman" w:hAnsi="Times New Roman" w:hint="eastAsia"/>
          <w:sz w:val="24"/>
          <w:szCs w:val="28"/>
        </w:rPr>
        <w:t>日召开第三届董事会第十六次会议、第三届监事会第十三次会议，审议通过了《关于出售</w:t>
      </w:r>
      <w:r w:rsidRPr="003A1532">
        <w:rPr>
          <w:rFonts w:ascii="Times New Roman" w:hAnsi="Times New Roman" w:hint="eastAsia"/>
          <w:sz w:val="24"/>
          <w:szCs w:val="28"/>
        </w:rPr>
        <w:t>GME</w:t>
      </w:r>
      <w:r w:rsidRPr="003A1532">
        <w:rPr>
          <w:rFonts w:ascii="Times New Roman" w:hAnsi="Times New Roman" w:hint="eastAsia"/>
          <w:sz w:val="24"/>
          <w:szCs w:val="28"/>
        </w:rPr>
        <w:t>控制权后形成财务资助及预计新增财务资助暨关联交易的议案》，其中关联监事</w:t>
      </w:r>
      <w:r w:rsidRPr="003A1532">
        <w:rPr>
          <w:rFonts w:ascii="Times New Roman" w:hAnsi="Times New Roman" w:hint="eastAsia"/>
          <w:sz w:val="24"/>
          <w:szCs w:val="28"/>
        </w:rPr>
        <w:t>Fabrizio Ceresa</w:t>
      </w:r>
      <w:r w:rsidRPr="003A1532">
        <w:rPr>
          <w:rFonts w:ascii="Times New Roman" w:hAnsi="Times New Roman" w:hint="eastAsia"/>
          <w:sz w:val="24"/>
          <w:szCs w:val="28"/>
        </w:rPr>
        <w:t>回避表决了该议案。公司独立董事已对该关联财务资助事项发表了事前认可意见</w:t>
      </w:r>
      <w:proofErr w:type="gramStart"/>
      <w:r w:rsidRPr="003A1532">
        <w:rPr>
          <w:rFonts w:ascii="Times New Roman" w:hAnsi="Times New Roman" w:hint="eastAsia"/>
          <w:sz w:val="24"/>
          <w:szCs w:val="28"/>
        </w:rPr>
        <w:t>及同意</w:t>
      </w:r>
      <w:proofErr w:type="gramEnd"/>
      <w:r w:rsidRPr="003A1532">
        <w:rPr>
          <w:rFonts w:ascii="Times New Roman" w:hAnsi="Times New Roman" w:hint="eastAsia"/>
          <w:sz w:val="24"/>
          <w:szCs w:val="28"/>
        </w:rPr>
        <w:t>的独立意见。本次关联财务资助事项尚需提交公司股东大会审议，相应的关联股东需回避表决。上述关联财务资助不构成《上市公司重大资产重组管理办法》规定的重大资产重组。</w:t>
      </w:r>
    </w:p>
    <w:p w14:paraId="5A81F8D5" w14:textId="77777777" w:rsidR="00FE3A44" w:rsidRPr="003A1532" w:rsidRDefault="00FE3A44" w:rsidP="00F071A1">
      <w:pPr>
        <w:spacing w:beforeLines="50" w:before="156" w:line="360" w:lineRule="auto"/>
        <w:ind w:firstLineChars="200" w:firstLine="482"/>
        <w:outlineLvl w:val="1"/>
        <w:rPr>
          <w:rFonts w:ascii="Times New Roman" w:hAnsi="Times New Roman"/>
          <w:b/>
          <w:sz w:val="24"/>
          <w:szCs w:val="32"/>
        </w:rPr>
      </w:pPr>
      <w:r w:rsidRPr="003A1532">
        <w:rPr>
          <w:rFonts w:ascii="Times New Roman" w:hAnsi="Times New Roman" w:hint="eastAsia"/>
          <w:b/>
          <w:sz w:val="24"/>
          <w:szCs w:val="32"/>
        </w:rPr>
        <w:t>（五）形成关联交易的先决条件及基本情况</w:t>
      </w:r>
    </w:p>
    <w:p w14:paraId="4733D760" w14:textId="2C021C2B" w:rsidR="00FE3A44" w:rsidRPr="003A1532" w:rsidRDefault="00FE3A44" w:rsidP="00FE3A44">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若公司全资子公司</w:t>
      </w:r>
      <w:r w:rsidRPr="003A1532">
        <w:rPr>
          <w:rFonts w:ascii="Times New Roman" w:hAnsi="Times New Roman" w:hint="eastAsia"/>
          <w:sz w:val="24"/>
          <w:szCs w:val="28"/>
        </w:rPr>
        <w:t>WFC</w:t>
      </w:r>
      <w:r w:rsidR="0033353F" w:rsidRPr="003A1532">
        <w:rPr>
          <w:rFonts w:ascii="Times New Roman" w:hAnsi="Times New Roman" w:hint="eastAsia"/>
          <w:sz w:val="24"/>
          <w:szCs w:val="28"/>
        </w:rPr>
        <w:t>出售</w:t>
      </w:r>
      <w:r w:rsidR="0033353F" w:rsidRPr="003A1532">
        <w:rPr>
          <w:rFonts w:ascii="Times New Roman" w:hAnsi="Times New Roman" w:hint="eastAsia"/>
          <w:sz w:val="24"/>
          <w:szCs w:val="28"/>
        </w:rPr>
        <w:t>G</w:t>
      </w:r>
      <w:r w:rsidR="0033353F" w:rsidRPr="003A1532">
        <w:rPr>
          <w:rFonts w:ascii="Times New Roman" w:hAnsi="Times New Roman"/>
          <w:sz w:val="24"/>
          <w:szCs w:val="28"/>
        </w:rPr>
        <w:t>ME51%</w:t>
      </w:r>
      <w:r w:rsidR="0033353F" w:rsidRPr="003A1532">
        <w:rPr>
          <w:rFonts w:ascii="Times New Roman" w:hAnsi="Times New Roman" w:hint="eastAsia"/>
          <w:sz w:val="24"/>
          <w:szCs w:val="28"/>
        </w:rPr>
        <w:t>股权给</w:t>
      </w:r>
      <w:proofErr w:type="spellStart"/>
      <w:r w:rsidR="0033353F" w:rsidRPr="003A1532">
        <w:rPr>
          <w:rFonts w:ascii="Times New Roman" w:hAnsi="Times New Roman" w:hint="eastAsia"/>
          <w:sz w:val="24"/>
          <w:szCs w:val="28"/>
        </w:rPr>
        <w:t>Spectre</w:t>
      </w:r>
      <w:proofErr w:type="spellEnd"/>
      <w:r w:rsidR="0033353F" w:rsidRPr="003A1532">
        <w:rPr>
          <w:rFonts w:ascii="Times New Roman" w:hAnsi="Times New Roman" w:hint="eastAsia"/>
          <w:sz w:val="24"/>
          <w:szCs w:val="28"/>
        </w:rPr>
        <w:t>的交易完成</w:t>
      </w:r>
      <w:r w:rsidRPr="003A1532">
        <w:rPr>
          <w:rFonts w:ascii="Times New Roman" w:hAnsi="Times New Roman" w:hint="eastAsia"/>
          <w:sz w:val="24"/>
          <w:szCs w:val="28"/>
        </w:rPr>
        <w:t>，则公司全资子公司</w:t>
      </w:r>
      <w:r w:rsidRPr="003A1532">
        <w:rPr>
          <w:rFonts w:ascii="Times New Roman" w:hAnsi="Times New Roman" w:hint="eastAsia"/>
          <w:sz w:val="24"/>
          <w:szCs w:val="28"/>
        </w:rPr>
        <w:t>WFC</w:t>
      </w:r>
      <w:r w:rsidRPr="003A1532">
        <w:rPr>
          <w:rFonts w:ascii="Times New Roman" w:hAnsi="Times New Roman" w:hint="eastAsia"/>
          <w:sz w:val="24"/>
          <w:szCs w:val="28"/>
        </w:rPr>
        <w:t>持有</w:t>
      </w:r>
      <w:r w:rsidRPr="003A1532">
        <w:rPr>
          <w:rFonts w:ascii="Times New Roman" w:hAnsi="Times New Roman" w:hint="eastAsia"/>
          <w:sz w:val="24"/>
          <w:szCs w:val="28"/>
        </w:rPr>
        <w:t>GME</w:t>
      </w:r>
      <w:r w:rsidRPr="003A1532">
        <w:rPr>
          <w:rFonts w:ascii="Times New Roman" w:hAnsi="Times New Roman" w:hint="eastAsia"/>
          <w:sz w:val="24"/>
          <w:szCs w:val="28"/>
        </w:rPr>
        <w:t>的股权比例将由</w:t>
      </w:r>
      <w:r w:rsidRPr="003A1532">
        <w:rPr>
          <w:rFonts w:ascii="Times New Roman" w:hAnsi="Times New Roman" w:hint="eastAsia"/>
          <w:sz w:val="24"/>
          <w:szCs w:val="28"/>
        </w:rPr>
        <w:t>99.99%</w:t>
      </w:r>
      <w:r w:rsidRPr="003A1532">
        <w:rPr>
          <w:rFonts w:ascii="Times New Roman" w:hAnsi="Times New Roman" w:hint="eastAsia"/>
          <w:sz w:val="24"/>
          <w:szCs w:val="28"/>
        </w:rPr>
        <w:t>降至</w:t>
      </w:r>
      <w:r w:rsidRPr="003A1532">
        <w:rPr>
          <w:rFonts w:ascii="Times New Roman" w:hAnsi="Times New Roman" w:hint="eastAsia"/>
          <w:sz w:val="24"/>
          <w:szCs w:val="28"/>
        </w:rPr>
        <w:t>48.99%</w:t>
      </w:r>
      <w:r w:rsidRPr="003A1532">
        <w:rPr>
          <w:rFonts w:ascii="Times New Roman" w:hAnsi="Times New Roman" w:hint="eastAsia"/>
          <w:sz w:val="24"/>
          <w:szCs w:val="28"/>
        </w:rPr>
        <w:t>，</w:t>
      </w:r>
      <w:r w:rsidRPr="003A1532">
        <w:rPr>
          <w:rFonts w:ascii="Times New Roman" w:hAnsi="Times New Roman" w:hint="eastAsia"/>
          <w:sz w:val="24"/>
          <w:szCs w:val="28"/>
        </w:rPr>
        <w:t>GME</w:t>
      </w:r>
      <w:r w:rsidRPr="003A1532">
        <w:rPr>
          <w:rFonts w:ascii="Times New Roman" w:hAnsi="Times New Roman" w:hint="eastAsia"/>
          <w:sz w:val="24"/>
          <w:szCs w:val="28"/>
        </w:rPr>
        <w:t>将不再纳入公司合并报表范围。</w:t>
      </w:r>
    </w:p>
    <w:p w14:paraId="2ADA491B" w14:textId="77777777" w:rsidR="00FE3A44" w:rsidRPr="003A1532" w:rsidRDefault="00FE3A44" w:rsidP="00FE3A44">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根据《上海证券交易所科创板股票上市规则》等有关规定，上述股权转让交易受让方</w:t>
      </w:r>
      <w:proofErr w:type="spellStart"/>
      <w:r w:rsidRPr="003A1532">
        <w:rPr>
          <w:rFonts w:ascii="Times New Roman" w:hAnsi="Times New Roman" w:hint="eastAsia"/>
          <w:sz w:val="24"/>
          <w:szCs w:val="28"/>
        </w:rPr>
        <w:t>Spectre</w:t>
      </w:r>
      <w:proofErr w:type="spellEnd"/>
      <w:r w:rsidRPr="003A1532">
        <w:rPr>
          <w:rFonts w:ascii="Times New Roman" w:hAnsi="Times New Roman" w:hint="eastAsia"/>
          <w:sz w:val="24"/>
          <w:szCs w:val="28"/>
        </w:rPr>
        <w:t>的实际控制人</w:t>
      </w:r>
      <w:r w:rsidRPr="003A1532">
        <w:rPr>
          <w:rFonts w:ascii="Times New Roman" w:hAnsi="Times New Roman" w:hint="eastAsia"/>
          <w:sz w:val="24"/>
          <w:szCs w:val="28"/>
        </w:rPr>
        <w:t>Erminio Ceresa</w:t>
      </w:r>
      <w:r w:rsidRPr="003A1532">
        <w:rPr>
          <w:rFonts w:ascii="Times New Roman" w:hAnsi="Times New Roman" w:hint="eastAsia"/>
          <w:sz w:val="24"/>
          <w:szCs w:val="28"/>
        </w:rPr>
        <w:t>是公司监事</w:t>
      </w:r>
      <w:r w:rsidRPr="003A1532">
        <w:rPr>
          <w:rFonts w:ascii="Times New Roman" w:hAnsi="Times New Roman" w:hint="eastAsia"/>
          <w:sz w:val="24"/>
          <w:szCs w:val="28"/>
        </w:rPr>
        <w:t>Fabrizio Ceresa</w:t>
      </w:r>
      <w:r w:rsidRPr="003A1532">
        <w:rPr>
          <w:rFonts w:ascii="Times New Roman" w:hAnsi="Times New Roman" w:hint="eastAsia"/>
          <w:sz w:val="24"/>
          <w:szCs w:val="28"/>
        </w:rPr>
        <w:t>的父亲，监事</w:t>
      </w:r>
      <w:r w:rsidRPr="003A1532">
        <w:rPr>
          <w:rFonts w:ascii="Times New Roman" w:hAnsi="Times New Roman" w:hint="eastAsia"/>
          <w:sz w:val="24"/>
          <w:szCs w:val="28"/>
        </w:rPr>
        <w:t>Fabrizio Ceresa</w:t>
      </w:r>
      <w:r w:rsidRPr="003A1532">
        <w:rPr>
          <w:rFonts w:ascii="Times New Roman" w:hAnsi="Times New Roman" w:hint="eastAsia"/>
          <w:sz w:val="24"/>
          <w:szCs w:val="28"/>
        </w:rPr>
        <w:t>是公司持股低于</w:t>
      </w:r>
      <w:r w:rsidRPr="003A1532">
        <w:rPr>
          <w:rFonts w:ascii="Times New Roman" w:hAnsi="Times New Roman" w:hint="eastAsia"/>
          <w:sz w:val="24"/>
          <w:szCs w:val="28"/>
        </w:rPr>
        <w:t>5%</w:t>
      </w:r>
      <w:r w:rsidRPr="003A1532">
        <w:rPr>
          <w:rFonts w:ascii="Times New Roman" w:hAnsi="Times New Roman" w:hint="eastAsia"/>
          <w:sz w:val="24"/>
          <w:szCs w:val="28"/>
        </w:rPr>
        <w:t>的股东</w:t>
      </w:r>
      <w:r w:rsidRPr="003A1532">
        <w:rPr>
          <w:rFonts w:ascii="Times New Roman" w:hAnsi="Times New Roman" w:hint="eastAsia"/>
          <w:sz w:val="24"/>
          <w:szCs w:val="28"/>
        </w:rPr>
        <w:t>Phinda Holding S.A.</w:t>
      </w:r>
      <w:r w:rsidRPr="003A1532">
        <w:rPr>
          <w:rFonts w:ascii="Times New Roman" w:hAnsi="Times New Roman" w:hint="eastAsia"/>
          <w:sz w:val="24"/>
          <w:szCs w:val="28"/>
        </w:rPr>
        <w:t>提名的股东监事。因此公司对</w:t>
      </w:r>
      <w:r w:rsidRPr="003A1532">
        <w:rPr>
          <w:rFonts w:ascii="Times New Roman" w:hAnsi="Times New Roman" w:hint="eastAsia"/>
          <w:sz w:val="24"/>
          <w:szCs w:val="28"/>
        </w:rPr>
        <w:t>GME</w:t>
      </w:r>
      <w:r w:rsidRPr="003A1532">
        <w:rPr>
          <w:rFonts w:ascii="Times New Roman" w:hAnsi="Times New Roman" w:hint="eastAsia"/>
          <w:sz w:val="24"/>
          <w:szCs w:val="28"/>
        </w:rPr>
        <w:t>的财务资助构成关联交易。本次交易不构成《上市公司重大资产重组管理办法》规定的重大资产重组。</w:t>
      </w:r>
    </w:p>
    <w:p w14:paraId="6FB3E7A4" w14:textId="778C6E70" w:rsidR="00FE3A44" w:rsidRPr="003A1532" w:rsidRDefault="00FE3A44" w:rsidP="00FE3A44">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截至本</w:t>
      </w:r>
      <w:r w:rsidR="00350706" w:rsidRPr="003A1532">
        <w:rPr>
          <w:rFonts w:ascii="Times New Roman" w:hAnsi="Times New Roman" w:hint="eastAsia"/>
          <w:sz w:val="24"/>
          <w:szCs w:val="28"/>
        </w:rPr>
        <w:t>核查意见出具</w:t>
      </w:r>
      <w:r w:rsidRPr="003A1532">
        <w:rPr>
          <w:rFonts w:ascii="Times New Roman" w:hAnsi="Times New Roman" w:hint="eastAsia"/>
          <w:sz w:val="24"/>
          <w:szCs w:val="28"/>
        </w:rPr>
        <w:t>日为止（不含本次关联交易），过去</w:t>
      </w:r>
      <w:r w:rsidRPr="003A1532">
        <w:rPr>
          <w:rFonts w:ascii="Times New Roman" w:hAnsi="Times New Roman" w:hint="eastAsia"/>
          <w:sz w:val="24"/>
          <w:szCs w:val="28"/>
        </w:rPr>
        <w:t>12</w:t>
      </w:r>
      <w:r w:rsidRPr="003A1532">
        <w:rPr>
          <w:rFonts w:ascii="Times New Roman" w:hAnsi="Times New Roman" w:hint="eastAsia"/>
          <w:sz w:val="24"/>
          <w:szCs w:val="28"/>
        </w:rPr>
        <w:t>个月内公司与关联人</w:t>
      </w:r>
      <w:r w:rsidRPr="003A1532">
        <w:rPr>
          <w:rFonts w:ascii="Times New Roman" w:hAnsi="Times New Roman" w:hint="eastAsia"/>
          <w:sz w:val="24"/>
          <w:szCs w:val="28"/>
        </w:rPr>
        <w:t>GME</w:t>
      </w:r>
      <w:r w:rsidRPr="003A1532">
        <w:rPr>
          <w:rFonts w:ascii="Times New Roman" w:hAnsi="Times New Roman" w:hint="eastAsia"/>
          <w:sz w:val="24"/>
          <w:szCs w:val="28"/>
        </w:rPr>
        <w:t>与受</w:t>
      </w:r>
      <w:r w:rsidRPr="003A1532">
        <w:rPr>
          <w:rFonts w:ascii="Times New Roman" w:hAnsi="Times New Roman" w:hint="eastAsia"/>
          <w:sz w:val="24"/>
          <w:szCs w:val="28"/>
        </w:rPr>
        <w:t>GME</w:t>
      </w:r>
      <w:r w:rsidRPr="003A1532">
        <w:rPr>
          <w:rFonts w:ascii="Times New Roman" w:hAnsi="Times New Roman" w:hint="eastAsia"/>
          <w:sz w:val="24"/>
          <w:szCs w:val="28"/>
        </w:rPr>
        <w:t>同一主体控制的其他关联方发生的关联交易或与不同关联人的关联交易未达到</w:t>
      </w:r>
      <w:r w:rsidRPr="003A1532">
        <w:rPr>
          <w:rFonts w:ascii="Times New Roman" w:hAnsi="Times New Roman" w:hint="eastAsia"/>
          <w:sz w:val="24"/>
          <w:szCs w:val="28"/>
        </w:rPr>
        <w:t>3,000</w:t>
      </w:r>
      <w:r w:rsidRPr="003A1532">
        <w:rPr>
          <w:rFonts w:ascii="Times New Roman" w:hAnsi="Times New Roman" w:hint="eastAsia"/>
          <w:sz w:val="24"/>
          <w:szCs w:val="28"/>
        </w:rPr>
        <w:t>万元以上，且未占公司最近一期经审计总资产或市值</w:t>
      </w:r>
      <w:r w:rsidRPr="003A1532">
        <w:rPr>
          <w:rFonts w:ascii="Times New Roman" w:hAnsi="Times New Roman" w:hint="eastAsia"/>
          <w:sz w:val="24"/>
          <w:szCs w:val="28"/>
        </w:rPr>
        <w:t>1%</w:t>
      </w:r>
      <w:r w:rsidRPr="003A1532">
        <w:rPr>
          <w:rFonts w:ascii="Times New Roman" w:hAnsi="Times New Roman" w:hint="eastAsia"/>
          <w:sz w:val="24"/>
          <w:szCs w:val="28"/>
        </w:rPr>
        <w:t>以上。</w:t>
      </w:r>
    </w:p>
    <w:p w14:paraId="2DB7AB9C" w14:textId="72F8121A" w:rsidR="00100695" w:rsidRPr="003A1532" w:rsidRDefault="00100695" w:rsidP="00100695">
      <w:pPr>
        <w:spacing w:beforeLines="50" w:before="156" w:afterLines="50" w:after="156" w:line="360" w:lineRule="auto"/>
        <w:ind w:firstLineChars="200" w:firstLine="482"/>
        <w:outlineLvl w:val="0"/>
        <w:rPr>
          <w:rFonts w:ascii="Times New Roman" w:hAnsi="Times New Roman"/>
          <w:b/>
          <w:bCs/>
          <w:sz w:val="24"/>
          <w:szCs w:val="32"/>
        </w:rPr>
      </w:pPr>
      <w:r w:rsidRPr="003A1532">
        <w:rPr>
          <w:rFonts w:ascii="Times New Roman" w:hAnsi="Times New Roman"/>
          <w:b/>
          <w:bCs/>
          <w:sz w:val="24"/>
          <w:szCs w:val="32"/>
        </w:rPr>
        <w:t>二、</w:t>
      </w:r>
      <w:r w:rsidRPr="003A1532">
        <w:rPr>
          <w:rFonts w:ascii="Times New Roman" w:hAnsi="Times New Roman" w:hint="eastAsia"/>
          <w:b/>
          <w:bCs/>
          <w:sz w:val="24"/>
          <w:szCs w:val="32"/>
        </w:rPr>
        <w:t>关联方</w:t>
      </w:r>
      <w:r w:rsidR="00350706" w:rsidRPr="003A1532">
        <w:rPr>
          <w:rFonts w:ascii="Times New Roman" w:hAnsi="Times New Roman" w:hint="eastAsia"/>
          <w:b/>
          <w:bCs/>
          <w:sz w:val="24"/>
          <w:szCs w:val="32"/>
        </w:rPr>
        <w:t>概况</w:t>
      </w:r>
    </w:p>
    <w:p w14:paraId="49306009" w14:textId="11F26910" w:rsidR="00350706" w:rsidRPr="003A1532" w:rsidRDefault="00350706" w:rsidP="00350706">
      <w:pPr>
        <w:spacing w:beforeLines="50" w:before="156" w:line="360" w:lineRule="auto"/>
        <w:ind w:firstLineChars="200" w:firstLine="482"/>
        <w:outlineLvl w:val="1"/>
        <w:rPr>
          <w:rFonts w:ascii="Times New Roman" w:hAnsi="Times New Roman"/>
          <w:b/>
          <w:sz w:val="24"/>
          <w:szCs w:val="32"/>
        </w:rPr>
      </w:pPr>
      <w:r w:rsidRPr="003A1532">
        <w:rPr>
          <w:rFonts w:ascii="Times New Roman" w:hAnsi="Times New Roman" w:hint="eastAsia"/>
          <w:b/>
          <w:sz w:val="24"/>
          <w:szCs w:val="32"/>
        </w:rPr>
        <w:t>（一）关联方基本情况</w:t>
      </w:r>
    </w:p>
    <w:tbl>
      <w:tblPr>
        <w:tblW w:w="5000"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2834"/>
        <w:gridCol w:w="6096"/>
      </w:tblGrid>
      <w:tr w:rsidR="003A1532" w:rsidRPr="003A1532" w14:paraId="36FC4B6C" w14:textId="77777777" w:rsidTr="0084023C">
        <w:trPr>
          <w:trHeight w:val="340"/>
        </w:trPr>
        <w:tc>
          <w:tcPr>
            <w:tcW w:w="1587" w:type="pct"/>
            <w:vAlign w:val="center"/>
          </w:tcPr>
          <w:p w14:paraId="5C0D3448" w14:textId="189244A3" w:rsidR="0084023C" w:rsidRPr="003A1532" w:rsidRDefault="0033353F" w:rsidP="0067303D">
            <w:pPr>
              <w:jc w:val="center"/>
              <w:rPr>
                <w:rFonts w:ascii="Times New Roman" w:hAnsi="Times New Roman"/>
                <w:b/>
                <w:bCs/>
                <w:szCs w:val="21"/>
              </w:rPr>
            </w:pPr>
            <w:r w:rsidRPr="003A1532">
              <w:rPr>
                <w:rFonts w:ascii="Times New Roman" w:hAnsi="Times New Roman" w:hint="eastAsia"/>
                <w:b/>
                <w:bCs/>
                <w:szCs w:val="21"/>
              </w:rPr>
              <w:t>项目</w:t>
            </w:r>
          </w:p>
        </w:tc>
        <w:tc>
          <w:tcPr>
            <w:tcW w:w="3413" w:type="pct"/>
            <w:vAlign w:val="center"/>
          </w:tcPr>
          <w:p w14:paraId="019B915E" w14:textId="4BD64901" w:rsidR="0084023C" w:rsidRPr="003A1532" w:rsidRDefault="0033353F" w:rsidP="00350706">
            <w:pPr>
              <w:jc w:val="center"/>
              <w:rPr>
                <w:rFonts w:ascii="Times New Roman" w:hAnsi="Times New Roman"/>
                <w:b/>
                <w:bCs/>
                <w:szCs w:val="21"/>
              </w:rPr>
            </w:pPr>
            <w:r w:rsidRPr="003A1532">
              <w:rPr>
                <w:rFonts w:ascii="Times New Roman" w:hAnsi="Times New Roman" w:hint="eastAsia"/>
                <w:b/>
                <w:bCs/>
                <w:szCs w:val="21"/>
              </w:rPr>
              <w:t>基本情况</w:t>
            </w:r>
          </w:p>
        </w:tc>
      </w:tr>
      <w:tr w:rsidR="003A1532" w:rsidRPr="003A1532" w14:paraId="1FBB427B" w14:textId="77777777" w:rsidTr="0033353F">
        <w:trPr>
          <w:trHeight w:val="340"/>
        </w:trPr>
        <w:tc>
          <w:tcPr>
            <w:tcW w:w="1587" w:type="pct"/>
            <w:vAlign w:val="center"/>
          </w:tcPr>
          <w:p w14:paraId="07E65065" w14:textId="1F656BE2" w:rsidR="0033353F" w:rsidRPr="003A1532" w:rsidRDefault="0033353F" w:rsidP="0033353F">
            <w:pPr>
              <w:rPr>
                <w:rFonts w:ascii="Times New Roman" w:hAnsi="Times New Roman"/>
                <w:kern w:val="0"/>
                <w:szCs w:val="21"/>
                <w:lang w:bidi="ar"/>
              </w:rPr>
            </w:pPr>
            <w:r w:rsidRPr="003A1532">
              <w:rPr>
                <w:rFonts w:ascii="Times New Roman" w:hAnsi="Times New Roman" w:hint="eastAsia"/>
                <w:kern w:val="0"/>
                <w:szCs w:val="21"/>
                <w:lang w:bidi="ar"/>
              </w:rPr>
              <w:t>公司名称</w:t>
            </w:r>
          </w:p>
        </w:tc>
        <w:tc>
          <w:tcPr>
            <w:tcW w:w="3413" w:type="pct"/>
            <w:vAlign w:val="center"/>
          </w:tcPr>
          <w:p w14:paraId="29A6E438" w14:textId="10E88AF5" w:rsidR="0033353F" w:rsidRPr="003A1532" w:rsidRDefault="0033353F" w:rsidP="0033353F">
            <w:pPr>
              <w:rPr>
                <w:rFonts w:ascii="Times New Roman" w:hAnsi="Times New Roman"/>
                <w:szCs w:val="21"/>
              </w:rPr>
            </w:pPr>
            <w:r w:rsidRPr="003A1532">
              <w:rPr>
                <w:rFonts w:ascii="Times New Roman" w:hAnsi="Times New Roman"/>
                <w:szCs w:val="21"/>
              </w:rPr>
              <w:t xml:space="preserve">GME Aerospace </w:t>
            </w:r>
            <w:proofErr w:type="spellStart"/>
            <w:r w:rsidRPr="003A1532">
              <w:rPr>
                <w:rFonts w:ascii="Times New Roman" w:hAnsi="Times New Roman"/>
                <w:szCs w:val="21"/>
              </w:rPr>
              <w:t>Indústria</w:t>
            </w:r>
            <w:proofErr w:type="spellEnd"/>
            <w:r w:rsidRPr="003A1532">
              <w:rPr>
                <w:rFonts w:ascii="Times New Roman" w:hAnsi="Times New Roman"/>
                <w:szCs w:val="21"/>
              </w:rPr>
              <w:t xml:space="preserve"> de Material Composto S.A.</w:t>
            </w:r>
          </w:p>
        </w:tc>
      </w:tr>
      <w:tr w:rsidR="003A1532" w:rsidRPr="003A1532" w14:paraId="6ECEEAEF" w14:textId="77777777" w:rsidTr="0033353F">
        <w:trPr>
          <w:trHeight w:val="340"/>
        </w:trPr>
        <w:tc>
          <w:tcPr>
            <w:tcW w:w="1587" w:type="pct"/>
            <w:vAlign w:val="center"/>
          </w:tcPr>
          <w:p w14:paraId="6DF22D2B" w14:textId="442781EA" w:rsidR="0033353F" w:rsidRPr="003A1532" w:rsidRDefault="0033353F" w:rsidP="0033353F">
            <w:pPr>
              <w:rPr>
                <w:rFonts w:ascii="Times New Roman" w:hAnsi="Times New Roman"/>
                <w:kern w:val="0"/>
                <w:szCs w:val="21"/>
                <w:lang w:bidi="ar"/>
              </w:rPr>
            </w:pPr>
            <w:r w:rsidRPr="003A1532">
              <w:rPr>
                <w:rFonts w:ascii="Times New Roman" w:hAnsi="Times New Roman" w:hint="eastAsia"/>
                <w:kern w:val="0"/>
                <w:szCs w:val="21"/>
                <w:lang w:bidi="ar"/>
              </w:rPr>
              <w:t>成立时间</w:t>
            </w:r>
          </w:p>
        </w:tc>
        <w:tc>
          <w:tcPr>
            <w:tcW w:w="3413" w:type="pct"/>
            <w:vAlign w:val="center"/>
          </w:tcPr>
          <w:p w14:paraId="7EBBBC35" w14:textId="3AAFCE97" w:rsidR="0033353F" w:rsidRPr="003A1532" w:rsidRDefault="0033353F" w:rsidP="0033353F">
            <w:pPr>
              <w:rPr>
                <w:rFonts w:ascii="Times New Roman" w:hAnsi="Times New Roman"/>
                <w:szCs w:val="21"/>
              </w:rPr>
            </w:pPr>
            <w:r w:rsidRPr="003A1532">
              <w:rPr>
                <w:rFonts w:ascii="Times New Roman" w:hAnsi="Times New Roman"/>
                <w:szCs w:val="21"/>
              </w:rPr>
              <w:t>2007</w:t>
            </w:r>
            <w:r w:rsidRPr="003A1532">
              <w:rPr>
                <w:rFonts w:ascii="Times New Roman" w:hAnsi="Times New Roman"/>
                <w:szCs w:val="21"/>
              </w:rPr>
              <w:t>年</w:t>
            </w:r>
            <w:r w:rsidRPr="003A1532">
              <w:rPr>
                <w:rFonts w:ascii="Times New Roman" w:hAnsi="Times New Roman"/>
                <w:szCs w:val="21"/>
              </w:rPr>
              <w:t>10</w:t>
            </w:r>
            <w:r w:rsidRPr="003A1532">
              <w:rPr>
                <w:rFonts w:ascii="Times New Roman" w:hAnsi="Times New Roman"/>
                <w:szCs w:val="21"/>
              </w:rPr>
              <w:t>月</w:t>
            </w:r>
            <w:r w:rsidRPr="003A1532">
              <w:rPr>
                <w:rFonts w:ascii="Times New Roman" w:hAnsi="Times New Roman"/>
                <w:szCs w:val="21"/>
              </w:rPr>
              <w:t>2</w:t>
            </w:r>
            <w:r w:rsidRPr="003A1532">
              <w:rPr>
                <w:rFonts w:ascii="Times New Roman" w:hAnsi="Times New Roman"/>
                <w:szCs w:val="21"/>
              </w:rPr>
              <w:t>日</w:t>
            </w:r>
          </w:p>
        </w:tc>
      </w:tr>
      <w:tr w:rsidR="003A1532" w:rsidRPr="003A1532" w14:paraId="4DAF8CA8" w14:textId="77777777" w:rsidTr="0033353F">
        <w:trPr>
          <w:trHeight w:val="340"/>
        </w:trPr>
        <w:tc>
          <w:tcPr>
            <w:tcW w:w="1587" w:type="pct"/>
            <w:vAlign w:val="center"/>
          </w:tcPr>
          <w:p w14:paraId="1801B394" w14:textId="059555DE" w:rsidR="0033353F" w:rsidRPr="003A1532" w:rsidRDefault="0033353F" w:rsidP="0033353F">
            <w:pPr>
              <w:rPr>
                <w:rFonts w:ascii="Times New Roman" w:hAnsi="Times New Roman"/>
                <w:kern w:val="0"/>
                <w:szCs w:val="21"/>
                <w:lang w:bidi="ar"/>
              </w:rPr>
            </w:pPr>
            <w:r w:rsidRPr="003A1532">
              <w:rPr>
                <w:rFonts w:ascii="Times New Roman" w:hAnsi="Times New Roman" w:hint="eastAsia"/>
                <w:kern w:val="0"/>
                <w:szCs w:val="21"/>
                <w:lang w:bidi="ar"/>
              </w:rPr>
              <w:t>注册登记编号</w:t>
            </w:r>
          </w:p>
        </w:tc>
        <w:tc>
          <w:tcPr>
            <w:tcW w:w="3413" w:type="pct"/>
            <w:vAlign w:val="center"/>
          </w:tcPr>
          <w:p w14:paraId="1452F5E2" w14:textId="4D0BE569" w:rsidR="0033353F" w:rsidRPr="003A1532" w:rsidRDefault="0033353F" w:rsidP="0033353F">
            <w:pPr>
              <w:rPr>
                <w:rFonts w:ascii="Times New Roman" w:hAnsi="Times New Roman"/>
                <w:szCs w:val="21"/>
              </w:rPr>
            </w:pPr>
            <w:r w:rsidRPr="003A1532">
              <w:rPr>
                <w:rFonts w:ascii="Times New Roman" w:hAnsi="Times New Roman"/>
                <w:szCs w:val="21"/>
              </w:rPr>
              <w:t>41208326786</w:t>
            </w:r>
          </w:p>
        </w:tc>
      </w:tr>
      <w:tr w:rsidR="003A1532" w:rsidRPr="003A1532" w14:paraId="0F8F9CB2" w14:textId="77777777" w:rsidTr="0033353F">
        <w:trPr>
          <w:trHeight w:val="340"/>
        </w:trPr>
        <w:tc>
          <w:tcPr>
            <w:tcW w:w="1587" w:type="pct"/>
            <w:vAlign w:val="center"/>
          </w:tcPr>
          <w:p w14:paraId="1AC59D4B" w14:textId="5C6CDD16" w:rsidR="0033353F" w:rsidRPr="003A1532" w:rsidRDefault="0033353F" w:rsidP="0033353F">
            <w:pPr>
              <w:rPr>
                <w:rFonts w:ascii="Times New Roman" w:hAnsi="Times New Roman"/>
                <w:kern w:val="0"/>
                <w:szCs w:val="21"/>
                <w:lang w:bidi="ar"/>
              </w:rPr>
            </w:pPr>
            <w:r w:rsidRPr="003A1532">
              <w:rPr>
                <w:rFonts w:ascii="Times New Roman" w:hAnsi="Times New Roman" w:hint="eastAsia"/>
                <w:kern w:val="0"/>
                <w:szCs w:val="21"/>
                <w:lang w:bidi="ar"/>
              </w:rPr>
              <w:t>注册资本</w:t>
            </w:r>
          </w:p>
        </w:tc>
        <w:tc>
          <w:tcPr>
            <w:tcW w:w="3413" w:type="pct"/>
            <w:vAlign w:val="center"/>
          </w:tcPr>
          <w:p w14:paraId="2A30072A" w14:textId="576A7D11" w:rsidR="0033353F" w:rsidRPr="003A1532" w:rsidRDefault="0033353F" w:rsidP="0033353F">
            <w:pPr>
              <w:rPr>
                <w:rFonts w:ascii="Times New Roman" w:hAnsi="Times New Roman"/>
                <w:szCs w:val="21"/>
              </w:rPr>
            </w:pPr>
            <w:r w:rsidRPr="003A1532">
              <w:rPr>
                <w:rFonts w:ascii="Times New Roman" w:hAnsi="Times New Roman"/>
                <w:szCs w:val="21"/>
              </w:rPr>
              <w:t>4,340.20</w:t>
            </w:r>
            <w:r w:rsidRPr="003A1532">
              <w:rPr>
                <w:rFonts w:ascii="Times New Roman" w:hAnsi="Times New Roman"/>
                <w:szCs w:val="21"/>
              </w:rPr>
              <w:t>万巴西雷亚尔</w:t>
            </w:r>
          </w:p>
        </w:tc>
      </w:tr>
      <w:tr w:rsidR="003A1532" w:rsidRPr="003A1532" w14:paraId="1EC94955" w14:textId="77777777" w:rsidTr="0033353F">
        <w:trPr>
          <w:trHeight w:val="340"/>
        </w:trPr>
        <w:tc>
          <w:tcPr>
            <w:tcW w:w="1587" w:type="pct"/>
            <w:vAlign w:val="center"/>
          </w:tcPr>
          <w:p w14:paraId="11D92527" w14:textId="2B4CDA7B" w:rsidR="0033353F" w:rsidRPr="003A1532" w:rsidRDefault="0033353F" w:rsidP="0033353F">
            <w:pPr>
              <w:rPr>
                <w:rFonts w:ascii="Times New Roman" w:hAnsi="Times New Roman"/>
                <w:kern w:val="0"/>
                <w:szCs w:val="21"/>
                <w:lang w:bidi="ar"/>
              </w:rPr>
            </w:pPr>
            <w:r w:rsidRPr="003A1532">
              <w:rPr>
                <w:rFonts w:ascii="Times New Roman" w:hAnsi="Times New Roman" w:hint="eastAsia"/>
                <w:kern w:val="0"/>
                <w:szCs w:val="21"/>
                <w:lang w:bidi="ar"/>
              </w:rPr>
              <w:t>实收资本</w:t>
            </w:r>
          </w:p>
        </w:tc>
        <w:tc>
          <w:tcPr>
            <w:tcW w:w="3413" w:type="pct"/>
            <w:vAlign w:val="center"/>
          </w:tcPr>
          <w:p w14:paraId="5272F261" w14:textId="3E666A57" w:rsidR="0033353F" w:rsidRPr="003A1532" w:rsidRDefault="0033353F" w:rsidP="0033353F">
            <w:pPr>
              <w:rPr>
                <w:rFonts w:ascii="Times New Roman" w:hAnsi="Times New Roman"/>
                <w:szCs w:val="21"/>
              </w:rPr>
            </w:pPr>
            <w:r w:rsidRPr="003A1532">
              <w:rPr>
                <w:rFonts w:ascii="Times New Roman" w:hAnsi="Times New Roman"/>
                <w:szCs w:val="21"/>
              </w:rPr>
              <w:t>4,340.20</w:t>
            </w:r>
            <w:r w:rsidRPr="003A1532">
              <w:rPr>
                <w:rFonts w:ascii="Times New Roman" w:hAnsi="Times New Roman"/>
                <w:szCs w:val="21"/>
              </w:rPr>
              <w:t>万巴西雷亚尔</w:t>
            </w:r>
          </w:p>
        </w:tc>
      </w:tr>
      <w:tr w:rsidR="003A1532" w:rsidRPr="003A1532" w14:paraId="1A75C237" w14:textId="77777777" w:rsidTr="0033353F">
        <w:trPr>
          <w:trHeight w:val="340"/>
        </w:trPr>
        <w:tc>
          <w:tcPr>
            <w:tcW w:w="1587" w:type="pct"/>
            <w:vAlign w:val="center"/>
          </w:tcPr>
          <w:p w14:paraId="173529BC" w14:textId="7A0A5448" w:rsidR="0033353F" w:rsidRPr="003A1532" w:rsidRDefault="0033353F" w:rsidP="0033353F">
            <w:pPr>
              <w:rPr>
                <w:rFonts w:ascii="Times New Roman" w:hAnsi="Times New Roman"/>
                <w:kern w:val="0"/>
                <w:szCs w:val="21"/>
                <w:lang w:bidi="ar"/>
              </w:rPr>
            </w:pPr>
            <w:r w:rsidRPr="003A1532">
              <w:rPr>
                <w:rFonts w:ascii="Times New Roman" w:hAnsi="Times New Roman" w:hint="eastAsia"/>
                <w:kern w:val="0"/>
                <w:szCs w:val="21"/>
                <w:lang w:bidi="ar"/>
              </w:rPr>
              <w:lastRenderedPageBreak/>
              <w:t>注册地</w:t>
            </w:r>
          </w:p>
        </w:tc>
        <w:tc>
          <w:tcPr>
            <w:tcW w:w="3413" w:type="pct"/>
            <w:vAlign w:val="center"/>
          </w:tcPr>
          <w:p w14:paraId="6D8ECDB0" w14:textId="795055B3" w:rsidR="0033353F" w:rsidRPr="003A1532" w:rsidRDefault="0033353F" w:rsidP="0033353F">
            <w:pPr>
              <w:rPr>
                <w:rFonts w:ascii="Times New Roman" w:hAnsi="Times New Roman"/>
                <w:szCs w:val="21"/>
              </w:rPr>
            </w:pPr>
            <w:r w:rsidRPr="003A1532">
              <w:rPr>
                <w:rFonts w:ascii="Times New Roman" w:hAnsi="Times New Roman"/>
                <w:szCs w:val="21"/>
              </w:rPr>
              <w:t>Alameda Bom Pastor</w:t>
            </w:r>
            <w:r w:rsidRPr="003A1532">
              <w:rPr>
                <w:rFonts w:ascii="Times New Roman" w:hAnsi="Times New Roman"/>
                <w:szCs w:val="21"/>
              </w:rPr>
              <w:t>，</w:t>
            </w:r>
            <w:r w:rsidRPr="003A1532">
              <w:rPr>
                <w:rFonts w:ascii="Times New Roman" w:hAnsi="Times New Roman"/>
                <w:szCs w:val="21"/>
              </w:rPr>
              <w:t xml:space="preserve"> nº 1683</w:t>
            </w:r>
            <w:r w:rsidRPr="003A1532">
              <w:rPr>
                <w:rFonts w:ascii="Times New Roman" w:hAnsi="Times New Roman"/>
                <w:szCs w:val="21"/>
              </w:rPr>
              <w:t>，</w:t>
            </w:r>
            <w:r w:rsidRPr="003A1532">
              <w:rPr>
                <w:rFonts w:ascii="Times New Roman" w:hAnsi="Times New Roman"/>
                <w:szCs w:val="21"/>
              </w:rPr>
              <w:t>Zip Code 83015-140</w:t>
            </w:r>
            <w:r w:rsidRPr="003A1532">
              <w:rPr>
                <w:rFonts w:ascii="Times New Roman" w:hAnsi="Times New Roman"/>
                <w:szCs w:val="21"/>
              </w:rPr>
              <w:t>，</w:t>
            </w:r>
            <w:r w:rsidRPr="003A1532">
              <w:rPr>
                <w:rFonts w:ascii="Times New Roman" w:hAnsi="Times New Roman"/>
                <w:szCs w:val="21"/>
              </w:rPr>
              <w:t xml:space="preserve"> City of São José dos </w:t>
            </w:r>
            <w:proofErr w:type="spellStart"/>
            <w:r w:rsidRPr="003A1532">
              <w:rPr>
                <w:rFonts w:ascii="Times New Roman" w:hAnsi="Times New Roman"/>
                <w:szCs w:val="21"/>
              </w:rPr>
              <w:t>Pinhais</w:t>
            </w:r>
            <w:proofErr w:type="spellEnd"/>
            <w:r w:rsidRPr="003A1532">
              <w:rPr>
                <w:rFonts w:ascii="Times New Roman" w:hAnsi="Times New Roman"/>
                <w:szCs w:val="21"/>
              </w:rPr>
              <w:t>，</w:t>
            </w:r>
            <w:r w:rsidRPr="003A1532">
              <w:rPr>
                <w:rFonts w:ascii="Times New Roman" w:hAnsi="Times New Roman"/>
                <w:szCs w:val="21"/>
              </w:rPr>
              <w:t>State of Paraná</w:t>
            </w:r>
            <w:r w:rsidRPr="003A1532">
              <w:rPr>
                <w:rFonts w:ascii="Times New Roman" w:hAnsi="Times New Roman"/>
                <w:szCs w:val="21"/>
              </w:rPr>
              <w:t>，巴西巴拉那州</w:t>
            </w:r>
          </w:p>
        </w:tc>
      </w:tr>
      <w:tr w:rsidR="003A1532" w:rsidRPr="003A1532" w14:paraId="171E266E" w14:textId="77777777" w:rsidTr="0033353F">
        <w:trPr>
          <w:trHeight w:val="340"/>
        </w:trPr>
        <w:tc>
          <w:tcPr>
            <w:tcW w:w="1587" w:type="pct"/>
            <w:vAlign w:val="center"/>
          </w:tcPr>
          <w:p w14:paraId="1317D20F" w14:textId="19F4A47F" w:rsidR="0033353F" w:rsidRPr="003A1532" w:rsidRDefault="0033353F" w:rsidP="0033353F">
            <w:pPr>
              <w:rPr>
                <w:rFonts w:ascii="Times New Roman" w:hAnsi="Times New Roman"/>
                <w:kern w:val="0"/>
                <w:szCs w:val="21"/>
                <w:lang w:bidi="ar"/>
              </w:rPr>
            </w:pPr>
            <w:r w:rsidRPr="003A1532">
              <w:rPr>
                <w:rFonts w:ascii="Times New Roman" w:hAnsi="Times New Roman" w:hint="eastAsia"/>
                <w:kern w:val="0"/>
                <w:szCs w:val="21"/>
                <w:lang w:bidi="ar"/>
              </w:rPr>
              <w:t>主要生产经营地</w:t>
            </w:r>
          </w:p>
        </w:tc>
        <w:tc>
          <w:tcPr>
            <w:tcW w:w="3413" w:type="pct"/>
            <w:vAlign w:val="center"/>
          </w:tcPr>
          <w:p w14:paraId="13E23DFA" w14:textId="59576856" w:rsidR="0033353F" w:rsidRPr="003A1532" w:rsidRDefault="0033353F" w:rsidP="0033353F">
            <w:pPr>
              <w:rPr>
                <w:rFonts w:ascii="Times New Roman" w:hAnsi="Times New Roman"/>
                <w:szCs w:val="21"/>
              </w:rPr>
            </w:pPr>
            <w:r w:rsidRPr="003A1532">
              <w:rPr>
                <w:rFonts w:ascii="Times New Roman" w:hAnsi="Times New Roman"/>
                <w:szCs w:val="21"/>
              </w:rPr>
              <w:t>Alameda Bom Pastor</w:t>
            </w:r>
            <w:r w:rsidRPr="003A1532">
              <w:rPr>
                <w:rFonts w:ascii="Times New Roman" w:hAnsi="Times New Roman"/>
                <w:szCs w:val="21"/>
              </w:rPr>
              <w:t>，</w:t>
            </w:r>
            <w:r w:rsidRPr="003A1532">
              <w:rPr>
                <w:rFonts w:ascii="Times New Roman" w:hAnsi="Times New Roman"/>
                <w:szCs w:val="21"/>
              </w:rPr>
              <w:t>nº 1683</w:t>
            </w:r>
            <w:r w:rsidRPr="003A1532">
              <w:rPr>
                <w:rFonts w:ascii="Times New Roman" w:hAnsi="Times New Roman"/>
                <w:szCs w:val="21"/>
              </w:rPr>
              <w:t>，</w:t>
            </w:r>
            <w:r w:rsidRPr="003A1532">
              <w:rPr>
                <w:rFonts w:ascii="Times New Roman" w:hAnsi="Times New Roman"/>
                <w:szCs w:val="21"/>
              </w:rPr>
              <w:t>Zip Code 83015-140</w:t>
            </w:r>
            <w:r w:rsidRPr="003A1532">
              <w:rPr>
                <w:rFonts w:ascii="Times New Roman" w:hAnsi="Times New Roman"/>
                <w:szCs w:val="21"/>
              </w:rPr>
              <w:t>，</w:t>
            </w:r>
            <w:r w:rsidRPr="003A1532">
              <w:rPr>
                <w:rFonts w:ascii="Times New Roman" w:hAnsi="Times New Roman"/>
                <w:szCs w:val="21"/>
              </w:rPr>
              <w:t xml:space="preserve"> City of São José dos </w:t>
            </w:r>
            <w:proofErr w:type="spellStart"/>
            <w:r w:rsidRPr="003A1532">
              <w:rPr>
                <w:rFonts w:ascii="Times New Roman" w:hAnsi="Times New Roman"/>
                <w:szCs w:val="21"/>
              </w:rPr>
              <w:t>Pinhais</w:t>
            </w:r>
            <w:proofErr w:type="spellEnd"/>
            <w:r w:rsidRPr="003A1532">
              <w:rPr>
                <w:rFonts w:ascii="Times New Roman" w:hAnsi="Times New Roman"/>
                <w:szCs w:val="21"/>
              </w:rPr>
              <w:t>，</w:t>
            </w:r>
            <w:r w:rsidRPr="003A1532">
              <w:rPr>
                <w:rFonts w:ascii="Times New Roman" w:hAnsi="Times New Roman"/>
                <w:szCs w:val="21"/>
              </w:rPr>
              <w:t>State of Paraná</w:t>
            </w:r>
            <w:r w:rsidRPr="003A1532">
              <w:rPr>
                <w:rFonts w:ascii="Times New Roman" w:hAnsi="Times New Roman"/>
                <w:szCs w:val="21"/>
              </w:rPr>
              <w:t>，巴西巴拉那州</w:t>
            </w:r>
          </w:p>
        </w:tc>
      </w:tr>
      <w:tr w:rsidR="003A1532" w:rsidRPr="003A1532" w14:paraId="2CB1ED6D" w14:textId="77777777" w:rsidTr="0033353F">
        <w:trPr>
          <w:trHeight w:val="340"/>
        </w:trPr>
        <w:tc>
          <w:tcPr>
            <w:tcW w:w="1587" w:type="pct"/>
            <w:vAlign w:val="center"/>
          </w:tcPr>
          <w:p w14:paraId="7AB4F711" w14:textId="094AA108" w:rsidR="0033353F" w:rsidRPr="003A1532" w:rsidRDefault="0033353F" w:rsidP="0033353F">
            <w:pPr>
              <w:rPr>
                <w:rFonts w:ascii="Times New Roman" w:hAnsi="Times New Roman"/>
                <w:kern w:val="0"/>
                <w:szCs w:val="21"/>
                <w:lang w:bidi="ar"/>
              </w:rPr>
            </w:pPr>
            <w:r w:rsidRPr="003A1532">
              <w:rPr>
                <w:rFonts w:ascii="Times New Roman" w:hAnsi="Times New Roman" w:hint="eastAsia"/>
                <w:kern w:val="0"/>
                <w:szCs w:val="21"/>
                <w:lang w:bidi="ar"/>
              </w:rPr>
              <w:t>主营业务</w:t>
            </w:r>
          </w:p>
        </w:tc>
        <w:tc>
          <w:tcPr>
            <w:tcW w:w="3413" w:type="pct"/>
            <w:vAlign w:val="center"/>
          </w:tcPr>
          <w:p w14:paraId="0B772E5B" w14:textId="0F107811" w:rsidR="0033353F" w:rsidRPr="003A1532" w:rsidRDefault="0033353F" w:rsidP="0033353F">
            <w:pPr>
              <w:rPr>
                <w:rFonts w:ascii="Times New Roman" w:hAnsi="Times New Roman"/>
                <w:szCs w:val="21"/>
              </w:rPr>
            </w:pPr>
            <w:r w:rsidRPr="003A1532">
              <w:rPr>
                <w:rFonts w:ascii="Times New Roman" w:hAnsi="Times New Roman" w:hint="eastAsia"/>
                <w:szCs w:val="21"/>
              </w:rPr>
              <w:t>主要从事拉美地区汽车工业自动化生产线焊装及输送集成业务</w:t>
            </w:r>
          </w:p>
        </w:tc>
      </w:tr>
    </w:tbl>
    <w:p w14:paraId="0D0CA72F" w14:textId="636AC9DD" w:rsidR="00350706" w:rsidRPr="003A1532" w:rsidRDefault="00350706" w:rsidP="00350706">
      <w:pPr>
        <w:spacing w:beforeLines="50" w:before="156" w:line="360" w:lineRule="auto"/>
        <w:ind w:firstLineChars="200" w:firstLine="482"/>
        <w:outlineLvl w:val="1"/>
        <w:rPr>
          <w:rFonts w:ascii="Times New Roman" w:hAnsi="Times New Roman"/>
          <w:b/>
          <w:sz w:val="24"/>
          <w:szCs w:val="32"/>
        </w:rPr>
      </w:pPr>
      <w:r w:rsidRPr="003A1532">
        <w:rPr>
          <w:rFonts w:ascii="Times New Roman" w:hAnsi="Times New Roman" w:hint="eastAsia"/>
          <w:b/>
          <w:sz w:val="24"/>
          <w:szCs w:val="32"/>
        </w:rPr>
        <w:t>（二）股权转让前后关联方的股权结构</w:t>
      </w:r>
    </w:p>
    <w:tbl>
      <w:tblPr>
        <w:tblW w:w="4997"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2835"/>
        <w:gridCol w:w="3045"/>
        <w:gridCol w:w="3045"/>
      </w:tblGrid>
      <w:tr w:rsidR="003A1532" w:rsidRPr="003A1532" w14:paraId="7F609222" w14:textId="77777777" w:rsidTr="0084023C">
        <w:trPr>
          <w:trHeight w:val="340"/>
        </w:trPr>
        <w:tc>
          <w:tcPr>
            <w:tcW w:w="1588" w:type="pct"/>
            <w:vAlign w:val="center"/>
          </w:tcPr>
          <w:p w14:paraId="3976691A" w14:textId="478B91C2" w:rsidR="00350706" w:rsidRPr="003A1532" w:rsidRDefault="00350706" w:rsidP="0067303D">
            <w:pPr>
              <w:jc w:val="center"/>
              <w:rPr>
                <w:rFonts w:ascii="Times New Roman" w:hAnsi="Times New Roman"/>
                <w:b/>
                <w:bCs/>
                <w:szCs w:val="21"/>
              </w:rPr>
            </w:pPr>
            <w:r w:rsidRPr="003A1532">
              <w:rPr>
                <w:rFonts w:ascii="Times New Roman" w:hAnsi="Times New Roman" w:hint="eastAsia"/>
                <w:b/>
                <w:bCs/>
                <w:szCs w:val="21"/>
              </w:rPr>
              <w:t>股东名称</w:t>
            </w:r>
          </w:p>
        </w:tc>
        <w:tc>
          <w:tcPr>
            <w:tcW w:w="1706" w:type="pct"/>
            <w:vAlign w:val="center"/>
          </w:tcPr>
          <w:p w14:paraId="0EAAD8AC" w14:textId="408C7B00" w:rsidR="00350706" w:rsidRPr="003A1532" w:rsidRDefault="00350706" w:rsidP="0067303D">
            <w:pPr>
              <w:jc w:val="center"/>
              <w:rPr>
                <w:rFonts w:ascii="Times New Roman" w:hAnsi="Times New Roman"/>
                <w:b/>
                <w:bCs/>
                <w:szCs w:val="21"/>
              </w:rPr>
            </w:pPr>
            <w:r w:rsidRPr="003A1532">
              <w:rPr>
                <w:rFonts w:ascii="Times New Roman" w:hAnsi="Times New Roman" w:hint="eastAsia"/>
                <w:b/>
                <w:bCs/>
                <w:szCs w:val="21"/>
              </w:rPr>
              <w:t>转让前持股比例（</w:t>
            </w:r>
            <w:r w:rsidRPr="003A1532">
              <w:rPr>
                <w:rFonts w:ascii="Times New Roman" w:hAnsi="Times New Roman" w:hint="eastAsia"/>
                <w:b/>
                <w:bCs/>
                <w:szCs w:val="21"/>
              </w:rPr>
              <w:t>%</w:t>
            </w:r>
            <w:r w:rsidRPr="003A1532">
              <w:rPr>
                <w:rFonts w:ascii="Times New Roman" w:hAnsi="Times New Roman" w:hint="eastAsia"/>
                <w:b/>
                <w:bCs/>
                <w:szCs w:val="21"/>
              </w:rPr>
              <w:t>）</w:t>
            </w:r>
          </w:p>
        </w:tc>
        <w:tc>
          <w:tcPr>
            <w:tcW w:w="1706" w:type="pct"/>
            <w:vAlign w:val="center"/>
          </w:tcPr>
          <w:p w14:paraId="4B470A3D" w14:textId="6D87BB13" w:rsidR="00350706" w:rsidRPr="003A1532" w:rsidRDefault="00350706" w:rsidP="0067303D">
            <w:pPr>
              <w:jc w:val="center"/>
              <w:rPr>
                <w:rFonts w:ascii="Times New Roman" w:hAnsi="Times New Roman"/>
                <w:b/>
                <w:bCs/>
                <w:szCs w:val="21"/>
              </w:rPr>
            </w:pPr>
            <w:r w:rsidRPr="003A1532">
              <w:rPr>
                <w:rFonts w:ascii="Times New Roman" w:hAnsi="Times New Roman" w:hint="eastAsia"/>
                <w:b/>
                <w:bCs/>
                <w:szCs w:val="21"/>
              </w:rPr>
              <w:t>转让后持股比例（</w:t>
            </w:r>
            <w:r w:rsidRPr="003A1532">
              <w:rPr>
                <w:rFonts w:ascii="Times New Roman" w:hAnsi="Times New Roman" w:hint="eastAsia"/>
                <w:b/>
                <w:bCs/>
                <w:szCs w:val="21"/>
              </w:rPr>
              <w:t>%</w:t>
            </w:r>
            <w:r w:rsidRPr="003A1532">
              <w:rPr>
                <w:rFonts w:ascii="Times New Roman" w:hAnsi="Times New Roman" w:hint="eastAsia"/>
                <w:b/>
                <w:bCs/>
                <w:szCs w:val="21"/>
              </w:rPr>
              <w:t>）</w:t>
            </w:r>
          </w:p>
        </w:tc>
      </w:tr>
      <w:tr w:rsidR="003A1532" w:rsidRPr="003A1532" w14:paraId="22A1B554" w14:textId="77777777" w:rsidTr="0084023C">
        <w:trPr>
          <w:trHeight w:val="340"/>
        </w:trPr>
        <w:tc>
          <w:tcPr>
            <w:tcW w:w="1588" w:type="pct"/>
            <w:vAlign w:val="center"/>
          </w:tcPr>
          <w:p w14:paraId="36D32999" w14:textId="7200E4DF" w:rsidR="00350706" w:rsidRPr="003A1532" w:rsidRDefault="00350706" w:rsidP="00350706">
            <w:pPr>
              <w:rPr>
                <w:rFonts w:ascii="Times New Roman" w:hAnsi="Times New Roman"/>
                <w:szCs w:val="21"/>
              </w:rPr>
            </w:pPr>
            <w:r w:rsidRPr="003A1532">
              <w:rPr>
                <w:rFonts w:ascii="Times New Roman" w:hAnsi="Times New Roman"/>
                <w:szCs w:val="21"/>
              </w:rPr>
              <w:t>EFORT W.F.C. Holding S.p.A.</w:t>
            </w:r>
          </w:p>
        </w:tc>
        <w:tc>
          <w:tcPr>
            <w:tcW w:w="1706" w:type="pct"/>
            <w:vAlign w:val="center"/>
          </w:tcPr>
          <w:p w14:paraId="5DEFA72D" w14:textId="72D45C26" w:rsidR="00350706" w:rsidRPr="003A1532" w:rsidRDefault="00350706" w:rsidP="00350706">
            <w:pPr>
              <w:jc w:val="right"/>
              <w:rPr>
                <w:rFonts w:ascii="Times New Roman" w:hAnsi="Times New Roman"/>
                <w:spacing w:val="-1"/>
                <w:szCs w:val="21"/>
                <w:lang w:bidi="zh-CN"/>
              </w:rPr>
            </w:pPr>
            <w:r w:rsidRPr="003A1532">
              <w:rPr>
                <w:rFonts w:ascii="Times New Roman" w:hAnsi="Times New Roman" w:hint="eastAsia"/>
                <w:spacing w:val="-1"/>
                <w:szCs w:val="21"/>
                <w:lang w:bidi="zh-CN"/>
              </w:rPr>
              <w:t>9</w:t>
            </w:r>
            <w:r w:rsidRPr="003A1532">
              <w:rPr>
                <w:rFonts w:ascii="Times New Roman" w:hAnsi="Times New Roman"/>
                <w:spacing w:val="-1"/>
                <w:szCs w:val="21"/>
                <w:lang w:bidi="zh-CN"/>
              </w:rPr>
              <w:t>9.99</w:t>
            </w:r>
          </w:p>
        </w:tc>
        <w:tc>
          <w:tcPr>
            <w:tcW w:w="1706" w:type="pct"/>
            <w:vAlign w:val="center"/>
          </w:tcPr>
          <w:p w14:paraId="4DED45F5" w14:textId="7116A202" w:rsidR="00350706" w:rsidRPr="003A1532" w:rsidRDefault="00350706" w:rsidP="00350706">
            <w:pPr>
              <w:jc w:val="right"/>
              <w:rPr>
                <w:rFonts w:ascii="Times New Roman" w:hAnsi="Times New Roman"/>
                <w:spacing w:val="-1"/>
                <w:szCs w:val="21"/>
                <w:lang w:bidi="zh-CN"/>
              </w:rPr>
            </w:pPr>
            <w:r w:rsidRPr="003A1532">
              <w:rPr>
                <w:rFonts w:ascii="Times New Roman" w:hAnsi="Times New Roman" w:hint="eastAsia"/>
                <w:spacing w:val="-1"/>
                <w:szCs w:val="21"/>
                <w:lang w:bidi="zh-CN"/>
              </w:rPr>
              <w:t>4</w:t>
            </w:r>
            <w:r w:rsidRPr="003A1532">
              <w:rPr>
                <w:rFonts w:ascii="Times New Roman" w:hAnsi="Times New Roman"/>
                <w:spacing w:val="-1"/>
                <w:szCs w:val="21"/>
                <w:lang w:bidi="zh-CN"/>
              </w:rPr>
              <w:t>8.99</w:t>
            </w:r>
          </w:p>
        </w:tc>
      </w:tr>
      <w:tr w:rsidR="003A1532" w:rsidRPr="003A1532" w14:paraId="10C213FC" w14:textId="77777777" w:rsidTr="0084023C">
        <w:trPr>
          <w:trHeight w:val="340"/>
        </w:trPr>
        <w:tc>
          <w:tcPr>
            <w:tcW w:w="1588" w:type="pct"/>
            <w:vAlign w:val="center"/>
          </w:tcPr>
          <w:p w14:paraId="30B60B84" w14:textId="27593D6B" w:rsidR="00350706" w:rsidRPr="003A1532" w:rsidRDefault="00350706" w:rsidP="00350706">
            <w:pPr>
              <w:rPr>
                <w:rFonts w:ascii="Times New Roman" w:hAnsi="Times New Roman"/>
                <w:szCs w:val="21"/>
              </w:rPr>
            </w:pPr>
            <w:r w:rsidRPr="003A1532">
              <w:rPr>
                <w:rFonts w:ascii="Times New Roman" w:hAnsi="Times New Roman"/>
                <w:kern w:val="0"/>
                <w:szCs w:val="21"/>
                <w:lang w:bidi="ar"/>
              </w:rPr>
              <w:t>Erminio Ceresa</w:t>
            </w:r>
          </w:p>
        </w:tc>
        <w:tc>
          <w:tcPr>
            <w:tcW w:w="1706" w:type="pct"/>
            <w:vAlign w:val="center"/>
          </w:tcPr>
          <w:p w14:paraId="52E4A30A" w14:textId="74F01139" w:rsidR="00350706" w:rsidRPr="003A1532" w:rsidRDefault="00350706" w:rsidP="00350706">
            <w:pPr>
              <w:jc w:val="right"/>
              <w:rPr>
                <w:rFonts w:ascii="Times New Roman" w:hAnsi="Times New Roman"/>
                <w:spacing w:val="-1"/>
                <w:szCs w:val="21"/>
                <w:lang w:bidi="zh-CN"/>
              </w:rPr>
            </w:pPr>
            <w:r w:rsidRPr="003A1532">
              <w:rPr>
                <w:rFonts w:ascii="Times New Roman" w:hAnsi="Times New Roman" w:hint="eastAsia"/>
                <w:spacing w:val="-1"/>
                <w:szCs w:val="21"/>
                <w:lang w:bidi="zh-CN"/>
              </w:rPr>
              <w:t>0</w:t>
            </w:r>
            <w:r w:rsidRPr="003A1532">
              <w:rPr>
                <w:rFonts w:ascii="Times New Roman" w:hAnsi="Times New Roman"/>
                <w:spacing w:val="-1"/>
                <w:szCs w:val="21"/>
                <w:lang w:bidi="zh-CN"/>
              </w:rPr>
              <w:t>.01</w:t>
            </w:r>
          </w:p>
        </w:tc>
        <w:tc>
          <w:tcPr>
            <w:tcW w:w="1706" w:type="pct"/>
            <w:vAlign w:val="center"/>
          </w:tcPr>
          <w:p w14:paraId="284F998A" w14:textId="0BE09571" w:rsidR="00350706" w:rsidRPr="003A1532" w:rsidRDefault="00350706" w:rsidP="00350706">
            <w:pPr>
              <w:jc w:val="right"/>
              <w:rPr>
                <w:rFonts w:ascii="Times New Roman" w:hAnsi="Times New Roman"/>
                <w:spacing w:val="-1"/>
                <w:szCs w:val="21"/>
                <w:lang w:bidi="zh-CN"/>
              </w:rPr>
            </w:pPr>
            <w:r w:rsidRPr="003A1532">
              <w:rPr>
                <w:rFonts w:ascii="Times New Roman" w:hAnsi="Times New Roman" w:hint="eastAsia"/>
                <w:spacing w:val="-1"/>
                <w:szCs w:val="21"/>
                <w:lang w:bidi="zh-CN"/>
              </w:rPr>
              <w:t>0</w:t>
            </w:r>
            <w:r w:rsidRPr="003A1532">
              <w:rPr>
                <w:rFonts w:ascii="Times New Roman" w:hAnsi="Times New Roman"/>
                <w:spacing w:val="-1"/>
                <w:szCs w:val="21"/>
                <w:lang w:bidi="zh-CN"/>
              </w:rPr>
              <w:t>.01</w:t>
            </w:r>
          </w:p>
        </w:tc>
      </w:tr>
      <w:tr w:rsidR="003A1532" w:rsidRPr="003A1532" w14:paraId="40B13C35" w14:textId="77777777" w:rsidTr="0084023C">
        <w:trPr>
          <w:trHeight w:val="340"/>
        </w:trPr>
        <w:tc>
          <w:tcPr>
            <w:tcW w:w="1588" w:type="pct"/>
            <w:vAlign w:val="center"/>
          </w:tcPr>
          <w:p w14:paraId="00855DA7" w14:textId="2595F5D5" w:rsidR="00350706" w:rsidRPr="003A1532" w:rsidRDefault="00350706" w:rsidP="00350706">
            <w:pPr>
              <w:rPr>
                <w:rFonts w:ascii="Times New Roman" w:hAnsi="Times New Roman"/>
                <w:szCs w:val="21"/>
              </w:rPr>
            </w:pPr>
            <w:proofErr w:type="spellStart"/>
            <w:r w:rsidRPr="003A1532">
              <w:rPr>
                <w:rFonts w:ascii="Times New Roman" w:hAnsi="Times New Roman"/>
                <w:szCs w:val="21"/>
              </w:rPr>
              <w:t>Spectre</w:t>
            </w:r>
            <w:proofErr w:type="spellEnd"/>
            <w:r w:rsidRPr="003A1532">
              <w:rPr>
                <w:rFonts w:ascii="Times New Roman" w:hAnsi="Times New Roman"/>
                <w:szCs w:val="21"/>
              </w:rPr>
              <w:t xml:space="preserve"> </w:t>
            </w:r>
            <w:proofErr w:type="spellStart"/>
            <w:r w:rsidRPr="003A1532">
              <w:rPr>
                <w:rFonts w:ascii="Times New Roman" w:hAnsi="Times New Roman"/>
                <w:szCs w:val="21"/>
              </w:rPr>
              <w:t>S.r.l</w:t>
            </w:r>
            <w:proofErr w:type="spellEnd"/>
            <w:r w:rsidRPr="003A1532">
              <w:rPr>
                <w:rFonts w:ascii="Times New Roman" w:hAnsi="Times New Roman"/>
                <w:szCs w:val="21"/>
              </w:rPr>
              <w:t>.</w:t>
            </w:r>
          </w:p>
        </w:tc>
        <w:tc>
          <w:tcPr>
            <w:tcW w:w="1706" w:type="pct"/>
            <w:vAlign w:val="center"/>
          </w:tcPr>
          <w:p w14:paraId="17667E80" w14:textId="38D1BEE1" w:rsidR="00350706" w:rsidRPr="003A1532" w:rsidRDefault="00350706" w:rsidP="00350706">
            <w:pPr>
              <w:jc w:val="right"/>
              <w:rPr>
                <w:rFonts w:ascii="Times New Roman" w:hAnsi="Times New Roman"/>
                <w:spacing w:val="-1"/>
                <w:szCs w:val="21"/>
                <w:lang w:bidi="zh-CN"/>
              </w:rPr>
            </w:pPr>
            <w:r w:rsidRPr="003A1532">
              <w:rPr>
                <w:rFonts w:ascii="Times New Roman" w:hAnsi="Times New Roman" w:hint="eastAsia"/>
                <w:spacing w:val="-1"/>
                <w:szCs w:val="21"/>
                <w:lang w:bidi="zh-CN"/>
              </w:rPr>
              <w:t>/</w:t>
            </w:r>
          </w:p>
        </w:tc>
        <w:tc>
          <w:tcPr>
            <w:tcW w:w="1706" w:type="pct"/>
            <w:vAlign w:val="center"/>
          </w:tcPr>
          <w:p w14:paraId="520FBC22" w14:textId="0440D876" w:rsidR="00350706" w:rsidRPr="003A1532" w:rsidRDefault="00350706" w:rsidP="00350706">
            <w:pPr>
              <w:jc w:val="right"/>
              <w:rPr>
                <w:rFonts w:ascii="Times New Roman" w:hAnsi="Times New Roman"/>
                <w:spacing w:val="-1"/>
                <w:szCs w:val="21"/>
                <w:lang w:bidi="zh-CN"/>
              </w:rPr>
            </w:pPr>
            <w:r w:rsidRPr="003A1532">
              <w:rPr>
                <w:rFonts w:ascii="Times New Roman" w:hAnsi="Times New Roman" w:hint="eastAsia"/>
                <w:spacing w:val="-1"/>
                <w:szCs w:val="21"/>
                <w:lang w:bidi="zh-CN"/>
              </w:rPr>
              <w:t>5</w:t>
            </w:r>
            <w:r w:rsidRPr="003A1532">
              <w:rPr>
                <w:rFonts w:ascii="Times New Roman" w:hAnsi="Times New Roman"/>
                <w:spacing w:val="-1"/>
                <w:szCs w:val="21"/>
                <w:lang w:bidi="zh-CN"/>
              </w:rPr>
              <w:t>1.00</w:t>
            </w:r>
          </w:p>
        </w:tc>
      </w:tr>
    </w:tbl>
    <w:p w14:paraId="459AAD15" w14:textId="7E7F871F" w:rsidR="00350706" w:rsidRPr="003A1532" w:rsidRDefault="00350706" w:rsidP="00350706">
      <w:pPr>
        <w:spacing w:beforeLines="50" w:before="156" w:line="360" w:lineRule="auto"/>
        <w:ind w:firstLineChars="200" w:firstLine="482"/>
        <w:outlineLvl w:val="1"/>
        <w:rPr>
          <w:rFonts w:ascii="Times New Roman" w:hAnsi="Times New Roman"/>
          <w:b/>
          <w:sz w:val="24"/>
          <w:szCs w:val="32"/>
        </w:rPr>
      </w:pPr>
      <w:r w:rsidRPr="003A1532">
        <w:rPr>
          <w:rFonts w:ascii="Times New Roman" w:hAnsi="Times New Roman" w:hint="eastAsia"/>
          <w:b/>
          <w:sz w:val="24"/>
          <w:szCs w:val="32"/>
        </w:rPr>
        <w:t>（三）关联方主要财务数据</w:t>
      </w:r>
    </w:p>
    <w:p w14:paraId="26270309" w14:textId="7CE4AC66" w:rsidR="00350706" w:rsidRPr="003A1532" w:rsidRDefault="00350706" w:rsidP="00350706">
      <w:pPr>
        <w:jc w:val="right"/>
        <w:rPr>
          <w:rFonts w:ascii="Times New Roman" w:hAnsi="Times New Roman"/>
        </w:rPr>
      </w:pPr>
      <w:r w:rsidRPr="003A1532">
        <w:rPr>
          <w:rFonts w:ascii="Times New Roman" w:hAnsi="Times New Roman" w:hint="eastAsia"/>
        </w:rPr>
        <w:t>单位：万</w:t>
      </w:r>
      <w:r w:rsidR="003946C9" w:rsidRPr="003A1532">
        <w:rPr>
          <w:rFonts w:ascii="Times New Roman" w:hAnsi="Times New Roman" w:hint="eastAsia"/>
        </w:rPr>
        <w:t>欧元</w:t>
      </w:r>
    </w:p>
    <w:tbl>
      <w:tblPr>
        <w:tblW w:w="4997"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2835"/>
        <w:gridCol w:w="3045"/>
        <w:gridCol w:w="3045"/>
      </w:tblGrid>
      <w:tr w:rsidR="003A1532" w:rsidRPr="003A1532" w14:paraId="65C9BCE9" w14:textId="77777777" w:rsidTr="0084023C">
        <w:trPr>
          <w:trHeight w:val="340"/>
        </w:trPr>
        <w:tc>
          <w:tcPr>
            <w:tcW w:w="1588" w:type="pct"/>
            <w:vAlign w:val="center"/>
          </w:tcPr>
          <w:p w14:paraId="793F860C" w14:textId="5530D396" w:rsidR="00350706" w:rsidRPr="003A1532" w:rsidRDefault="00350706" w:rsidP="0067303D">
            <w:pPr>
              <w:jc w:val="center"/>
              <w:rPr>
                <w:rFonts w:ascii="Times New Roman" w:hAnsi="Times New Roman"/>
                <w:b/>
                <w:bCs/>
                <w:szCs w:val="21"/>
              </w:rPr>
            </w:pPr>
            <w:r w:rsidRPr="003A1532">
              <w:rPr>
                <w:rFonts w:ascii="Times New Roman" w:hAnsi="Times New Roman" w:hint="eastAsia"/>
                <w:b/>
                <w:bCs/>
                <w:szCs w:val="21"/>
              </w:rPr>
              <w:t>主要指标</w:t>
            </w:r>
          </w:p>
        </w:tc>
        <w:tc>
          <w:tcPr>
            <w:tcW w:w="1706" w:type="pct"/>
            <w:vAlign w:val="center"/>
          </w:tcPr>
          <w:p w14:paraId="15067B17" w14:textId="771DD9BA" w:rsidR="00350706" w:rsidRPr="003A1532" w:rsidRDefault="00350706" w:rsidP="0067303D">
            <w:pPr>
              <w:jc w:val="center"/>
              <w:rPr>
                <w:rFonts w:ascii="Times New Roman" w:hAnsi="Times New Roman"/>
                <w:b/>
                <w:bCs/>
                <w:szCs w:val="21"/>
              </w:rPr>
            </w:pPr>
            <w:r w:rsidRPr="003A1532">
              <w:rPr>
                <w:rFonts w:ascii="Times New Roman" w:hAnsi="Times New Roman" w:hint="eastAsia"/>
                <w:b/>
                <w:bCs/>
                <w:szCs w:val="21"/>
              </w:rPr>
              <w:t>2</w:t>
            </w:r>
            <w:r w:rsidRPr="003A1532">
              <w:rPr>
                <w:rFonts w:ascii="Times New Roman" w:hAnsi="Times New Roman"/>
                <w:b/>
                <w:bCs/>
                <w:szCs w:val="21"/>
              </w:rPr>
              <w:t>023</w:t>
            </w:r>
            <w:r w:rsidRPr="003A1532">
              <w:rPr>
                <w:rFonts w:ascii="Times New Roman" w:hAnsi="Times New Roman" w:hint="eastAsia"/>
                <w:b/>
                <w:bCs/>
                <w:szCs w:val="21"/>
              </w:rPr>
              <w:t>年</w:t>
            </w:r>
            <w:r w:rsidRPr="003A1532">
              <w:rPr>
                <w:rFonts w:ascii="Times New Roman" w:hAnsi="Times New Roman" w:hint="eastAsia"/>
                <w:b/>
                <w:bCs/>
                <w:szCs w:val="21"/>
              </w:rPr>
              <w:t>6</w:t>
            </w:r>
            <w:r w:rsidRPr="003A1532">
              <w:rPr>
                <w:rFonts w:ascii="Times New Roman" w:hAnsi="Times New Roman" w:hint="eastAsia"/>
                <w:b/>
                <w:bCs/>
                <w:szCs w:val="21"/>
              </w:rPr>
              <w:t>月末</w:t>
            </w:r>
            <w:r w:rsidRPr="003A1532">
              <w:rPr>
                <w:rFonts w:ascii="Times New Roman" w:hAnsi="Times New Roman" w:hint="eastAsia"/>
                <w:b/>
                <w:bCs/>
                <w:szCs w:val="21"/>
              </w:rPr>
              <w:t>/</w:t>
            </w:r>
            <w:r w:rsidRPr="003A1532">
              <w:rPr>
                <w:rFonts w:ascii="Times New Roman" w:hAnsi="Times New Roman"/>
                <w:b/>
                <w:bCs/>
                <w:szCs w:val="21"/>
              </w:rPr>
              <w:t>2023</w:t>
            </w:r>
            <w:r w:rsidRPr="003A1532">
              <w:rPr>
                <w:rFonts w:ascii="Times New Roman" w:hAnsi="Times New Roman" w:hint="eastAsia"/>
                <w:b/>
                <w:bCs/>
                <w:szCs w:val="21"/>
              </w:rPr>
              <w:t>年</w:t>
            </w:r>
            <w:r w:rsidRPr="003A1532">
              <w:rPr>
                <w:rFonts w:ascii="Times New Roman" w:hAnsi="Times New Roman" w:hint="eastAsia"/>
                <w:b/>
                <w:bCs/>
                <w:szCs w:val="21"/>
              </w:rPr>
              <w:t>1</w:t>
            </w:r>
            <w:r w:rsidRPr="003A1532">
              <w:rPr>
                <w:rFonts w:ascii="Times New Roman" w:hAnsi="Times New Roman"/>
                <w:b/>
                <w:bCs/>
                <w:szCs w:val="21"/>
              </w:rPr>
              <w:t>-6</w:t>
            </w:r>
            <w:r w:rsidRPr="003A1532">
              <w:rPr>
                <w:rFonts w:ascii="Times New Roman" w:hAnsi="Times New Roman" w:hint="eastAsia"/>
                <w:b/>
                <w:bCs/>
                <w:szCs w:val="21"/>
              </w:rPr>
              <w:t>月</w:t>
            </w:r>
          </w:p>
        </w:tc>
        <w:tc>
          <w:tcPr>
            <w:tcW w:w="1706" w:type="pct"/>
            <w:vAlign w:val="center"/>
          </w:tcPr>
          <w:p w14:paraId="34ACD73B" w14:textId="67316601" w:rsidR="00350706" w:rsidRPr="003A1532" w:rsidRDefault="00350706" w:rsidP="0067303D">
            <w:pPr>
              <w:jc w:val="center"/>
              <w:rPr>
                <w:rFonts w:ascii="Times New Roman" w:hAnsi="Times New Roman"/>
                <w:b/>
                <w:bCs/>
                <w:szCs w:val="21"/>
              </w:rPr>
            </w:pPr>
            <w:r w:rsidRPr="003A1532">
              <w:rPr>
                <w:rFonts w:ascii="Times New Roman" w:hAnsi="Times New Roman" w:hint="eastAsia"/>
                <w:b/>
                <w:bCs/>
                <w:szCs w:val="21"/>
              </w:rPr>
              <w:t>2</w:t>
            </w:r>
            <w:r w:rsidRPr="003A1532">
              <w:rPr>
                <w:rFonts w:ascii="Times New Roman" w:hAnsi="Times New Roman"/>
                <w:b/>
                <w:bCs/>
                <w:szCs w:val="21"/>
              </w:rPr>
              <w:t>022</w:t>
            </w:r>
            <w:r w:rsidRPr="003A1532">
              <w:rPr>
                <w:rFonts w:ascii="Times New Roman" w:hAnsi="Times New Roman" w:hint="eastAsia"/>
                <w:b/>
                <w:bCs/>
                <w:szCs w:val="21"/>
              </w:rPr>
              <w:t>年末</w:t>
            </w:r>
            <w:r w:rsidRPr="003A1532">
              <w:rPr>
                <w:rFonts w:ascii="Times New Roman" w:hAnsi="Times New Roman" w:hint="eastAsia"/>
                <w:b/>
                <w:bCs/>
                <w:szCs w:val="21"/>
              </w:rPr>
              <w:t>/</w:t>
            </w:r>
            <w:r w:rsidRPr="003A1532">
              <w:rPr>
                <w:rFonts w:ascii="Times New Roman" w:hAnsi="Times New Roman"/>
                <w:b/>
                <w:bCs/>
                <w:szCs w:val="21"/>
              </w:rPr>
              <w:t>2022</w:t>
            </w:r>
            <w:r w:rsidRPr="003A1532">
              <w:rPr>
                <w:rFonts w:ascii="Times New Roman" w:hAnsi="Times New Roman" w:hint="eastAsia"/>
                <w:b/>
                <w:bCs/>
                <w:szCs w:val="21"/>
              </w:rPr>
              <w:t>年度</w:t>
            </w:r>
          </w:p>
        </w:tc>
      </w:tr>
      <w:tr w:rsidR="003A1532" w:rsidRPr="003A1532" w14:paraId="5837C733" w14:textId="77777777" w:rsidTr="0084023C">
        <w:trPr>
          <w:trHeight w:val="340"/>
        </w:trPr>
        <w:tc>
          <w:tcPr>
            <w:tcW w:w="1588" w:type="pct"/>
            <w:vAlign w:val="center"/>
          </w:tcPr>
          <w:p w14:paraId="0761259E" w14:textId="4FBB0C1B" w:rsidR="0084023C" w:rsidRPr="003A1532" w:rsidRDefault="0084023C" w:rsidP="0084023C">
            <w:pPr>
              <w:rPr>
                <w:rFonts w:ascii="Times New Roman" w:hAnsi="Times New Roman"/>
                <w:szCs w:val="21"/>
              </w:rPr>
            </w:pPr>
            <w:r w:rsidRPr="003A1532">
              <w:rPr>
                <w:rFonts w:ascii="Times New Roman" w:hAnsi="Times New Roman" w:hint="eastAsia"/>
                <w:szCs w:val="21"/>
              </w:rPr>
              <w:t>资产总额</w:t>
            </w:r>
          </w:p>
        </w:tc>
        <w:tc>
          <w:tcPr>
            <w:tcW w:w="1706" w:type="pct"/>
            <w:vAlign w:val="center"/>
          </w:tcPr>
          <w:p w14:paraId="34ECD240" w14:textId="2652143D"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5,436.84</w:t>
            </w:r>
          </w:p>
        </w:tc>
        <w:tc>
          <w:tcPr>
            <w:tcW w:w="1706" w:type="pct"/>
            <w:vAlign w:val="center"/>
          </w:tcPr>
          <w:p w14:paraId="7C4AAF66" w14:textId="50D42D18"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4,566.56</w:t>
            </w:r>
          </w:p>
        </w:tc>
      </w:tr>
      <w:tr w:rsidR="003A1532" w:rsidRPr="003A1532" w14:paraId="38DFA81E" w14:textId="77777777" w:rsidTr="0084023C">
        <w:trPr>
          <w:trHeight w:val="340"/>
        </w:trPr>
        <w:tc>
          <w:tcPr>
            <w:tcW w:w="1588" w:type="pct"/>
            <w:vAlign w:val="center"/>
          </w:tcPr>
          <w:p w14:paraId="6EE1E623" w14:textId="78417A67" w:rsidR="0084023C" w:rsidRPr="003A1532" w:rsidRDefault="0084023C" w:rsidP="0084023C">
            <w:pPr>
              <w:rPr>
                <w:rFonts w:ascii="Times New Roman" w:hAnsi="Times New Roman"/>
                <w:szCs w:val="21"/>
              </w:rPr>
            </w:pPr>
            <w:r w:rsidRPr="003A1532">
              <w:rPr>
                <w:rFonts w:ascii="Times New Roman" w:hAnsi="Times New Roman" w:hint="eastAsia"/>
                <w:szCs w:val="21"/>
              </w:rPr>
              <w:t>负债总额</w:t>
            </w:r>
          </w:p>
        </w:tc>
        <w:tc>
          <w:tcPr>
            <w:tcW w:w="1706" w:type="pct"/>
            <w:vAlign w:val="center"/>
          </w:tcPr>
          <w:p w14:paraId="6B46BB28" w14:textId="10D2135F"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3,255.74</w:t>
            </w:r>
          </w:p>
        </w:tc>
        <w:tc>
          <w:tcPr>
            <w:tcW w:w="1706" w:type="pct"/>
            <w:vAlign w:val="center"/>
          </w:tcPr>
          <w:p w14:paraId="1386E3D9" w14:textId="71220EE7"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2,218.62</w:t>
            </w:r>
          </w:p>
        </w:tc>
      </w:tr>
      <w:tr w:rsidR="003A1532" w:rsidRPr="003A1532" w14:paraId="0B8D53A5" w14:textId="77777777" w:rsidTr="0084023C">
        <w:trPr>
          <w:trHeight w:val="340"/>
        </w:trPr>
        <w:tc>
          <w:tcPr>
            <w:tcW w:w="1588" w:type="pct"/>
            <w:vAlign w:val="center"/>
          </w:tcPr>
          <w:p w14:paraId="774147C9" w14:textId="1263F199" w:rsidR="0084023C" w:rsidRPr="003A1532" w:rsidRDefault="0084023C" w:rsidP="0084023C">
            <w:pPr>
              <w:rPr>
                <w:rFonts w:ascii="Times New Roman" w:hAnsi="Times New Roman"/>
                <w:szCs w:val="21"/>
              </w:rPr>
            </w:pPr>
            <w:r w:rsidRPr="003A1532">
              <w:rPr>
                <w:rFonts w:ascii="Times New Roman" w:hAnsi="Times New Roman" w:hint="eastAsia"/>
                <w:szCs w:val="21"/>
              </w:rPr>
              <w:t>净资产</w:t>
            </w:r>
          </w:p>
        </w:tc>
        <w:tc>
          <w:tcPr>
            <w:tcW w:w="1706" w:type="pct"/>
            <w:vAlign w:val="center"/>
          </w:tcPr>
          <w:p w14:paraId="1E6BCF66" w14:textId="743E7987"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2,181.10</w:t>
            </w:r>
          </w:p>
        </w:tc>
        <w:tc>
          <w:tcPr>
            <w:tcW w:w="1706" w:type="pct"/>
            <w:vAlign w:val="center"/>
          </w:tcPr>
          <w:p w14:paraId="29004CC1" w14:textId="0D8C7266"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2,347.94</w:t>
            </w:r>
          </w:p>
        </w:tc>
      </w:tr>
      <w:tr w:rsidR="003A1532" w:rsidRPr="003A1532" w14:paraId="3F25318F" w14:textId="77777777" w:rsidTr="0084023C">
        <w:trPr>
          <w:trHeight w:val="340"/>
        </w:trPr>
        <w:tc>
          <w:tcPr>
            <w:tcW w:w="1588" w:type="pct"/>
            <w:vAlign w:val="center"/>
          </w:tcPr>
          <w:p w14:paraId="7DA130F0" w14:textId="2EDE3226" w:rsidR="0084023C" w:rsidRPr="003A1532" w:rsidRDefault="0084023C" w:rsidP="0084023C">
            <w:pPr>
              <w:rPr>
                <w:rFonts w:ascii="Times New Roman" w:hAnsi="Times New Roman"/>
                <w:szCs w:val="21"/>
              </w:rPr>
            </w:pPr>
            <w:r w:rsidRPr="003A1532">
              <w:rPr>
                <w:rFonts w:ascii="Times New Roman" w:hAnsi="Times New Roman" w:hint="eastAsia"/>
                <w:szCs w:val="21"/>
              </w:rPr>
              <w:t>营业收入</w:t>
            </w:r>
          </w:p>
        </w:tc>
        <w:tc>
          <w:tcPr>
            <w:tcW w:w="1706" w:type="pct"/>
            <w:vAlign w:val="center"/>
          </w:tcPr>
          <w:p w14:paraId="2BDF734C" w14:textId="7B3D76EE"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1,167.68</w:t>
            </w:r>
          </w:p>
        </w:tc>
        <w:tc>
          <w:tcPr>
            <w:tcW w:w="1706" w:type="pct"/>
            <w:vAlign w:val="center"/>
          </w:tcPr>
          <w:p w14:paraId="3656E893" w14:textId="634189FD"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2,537.78</w:t>
            </w:r>
          </w:p>
        </w:tc>
      </w:tr>
      <w:tr w:rsidR="003A1532" w:rsidRPr="003A1532" w14:paraId="03370472" w14:textId="77777777" w:rsidTr="0084023C">
        <w:trPr>
          <w:trHeight w:val="340"/>
        </w:trPr>
        <w:tc>
          <w:tcPr>
            <w:tcW w:w="1588" w:type="pct"/>
            <w:vAlign w:val="center"/>
          </w:tcPr>
          <w:p w14:paraId="2839B321" w14:textId="4FC7CA28" w:rsidR="0084023C" w:rsidRPr="003A1532" w:rsidRDefault="0084023C" w:rsidP="0084023C">
            <w:pPr>
              <w:rPr>
                <w:rFonts w:ascii="Times New Roman" w:hAnsi="Times New Roman"/>
                <w:szCs w:val="21"/>
              </w:rPr>
            </w:pPr>
            <w:r w:rsidRPr="003A1532">
              <w:rPr>
                <w:rFonts w:ascii="Times New Roman" w:hAnsi="Times New Roman" w:hint="eastAsia"/>
                <w:szCs w:val="21"/>
              </w:rPr>
              <w:t>净利润</w:t>
            </w:r>
          </w:p>
        </w:tc>
        <w:tc>
          <w:tcPr>
            <w:tcW w:w="1706" w:type="pct"/>
            <w:vAlign w:val="center"/>
          </w:tcPr>
          <w:p w14:paraId="4899C03F" w14:textId="0DFDA35D"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-315.16</w:t>
            </w:r>
          </w:p>
        </w:tc>
        <w:tc>
          <w:tcPr>
            <w:tcW w:w="1706" w:type="pct"/>
            <w:vAlign w:val="center"/>
          </w:tcPr>
          <w:p w14:paraId="4D7100C3" w14:textId="4263AEA9" w:rsidR="0084023C" w:rsidRPr="003A1532" w:rsidRDefault="0084023C" w:rsidP="0084023C">
            <w:pPr>
              <w:jc w:val="right"/>
              <w:rPr>
                <w:rFonts w:ascii="Times New Roman" w:hAnsi="Times New Roman"/>
                <w:spacing w:val="-1"/>
                <w:szCs w:val="21"/>
                <w:lang w:bidi="zh-CN"/>
              </w:rPr>
            </w:pPr>
            <w:r w:rsidRPr="003A1532">
              <w:rPr>
                <w:rFonts w:ascii="Times New Roman" w:hAnsi="Times New Roman" w:hint="eastAsia"/>
                <w:spacing w:val="-1"/>
                <w:szCs w:val="21"/>
                <w:lang w:bidi="zh-CN"/>
              </w:rPr>
              <w:t>-40.37</w:t>
            </w:r>
          </w:p>
        </w:tc>
      </w:tr>
    </w:tbl>
    <w:p w14:paraId="48115596" w14:textId="1E188176" w:rsidR="00350706" w:rsidRPr="003A1532" w:rsidRDefault="003946C9" w:rsidP="003946C9">
      <w:pPr>
        <w:rPr>
          <w:rFonts w:ascii="Times New Roman" w:hAnsi="Times New Roman"/>
        </w:rPr>
      </w:pPr>
      <w:r w:rsidRPr="003A1532">
        <w:rPr>
          <w:rFonts w:ascii="Times New Roman" w:hAnsi="Times New Roman" w:hint="eastAsia"/>
        </w:rPr>
        <w:t>注：以上财务数据经安永华明会计师事务所（特殊普通合伙）审计。</w:t>
      </w:r>
    </w:p>
    <w:p w14:paraId="3B452401" w14:textId="5CC5D09F" w:rsidR="0033353F" w:rsidRPr="003A1532" w:rsidRDefault="0033353F" w:rsidP="0033353F">
      <w:pPr>
        <w:spacing w:beforeLines="50" w:before="156" w:line="360" w:lineRule="auto"/>
        <w:ind w:firstLineChars="200" w:firstLine="482"/>
        <w:outlineLvl w:val="1"/>
        <w:rPr>
          <w:rFonts w:ascii="Times New Roman" w:hAnsi="Times New Roman"/>
          <w:b/>
          <w:sz w:val="24"/>
          <w:szCs w:val="32"/>
        </w:rPr>
      </w:pPr>
      <w:r w:rsidRPr="003A1532">
        <w:rPr>
          <w:rFonts w:ascii="Times New Roman" w:hAnsi="Times New Roman" w:hint="eastAsia"/>
          <w:b/>
          <w:sz w:val="24"/>
          <w:szCs w:val="32"/>
        </w:rPr>
        <w:t>（四）关联关系说明</w:t>
      </w:r>
    </w:p>
    <w:p w14:paraId="2D25650D" w14:textId="27A30B12" w:rsidR="0033353F" w:rsidRPr="003A1532" w:rsidRDefault="0033353F" w:rsidP="00100695">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若股权出售完成，</w:t>
      </w:r>
      <w:r w:rsidRPr="003A1532">
        <w:rPr>
          <w:rFonts w:ascii="Times New Roman" w:hAnsi="Times New Roman" w:hint="eastAsia"/>
          <w:sz w:val="24"/>
          <w:szCs w:val="28"/>
        </w:rPr>
        <w:t>GME</w:t>
      </w:r>
      <w:r w:rsidRPr="003A1532">
        <w:rPr>
          <w:rFonts w:ascii="Times New Roman" w:hAnsi="Times New Roman" w:hint="eastAsia"/>
          <w:sz w:val="24"/>
          <w:szCs w:val="28"/>
        </w:rPr>
        <w:t>将成为公司关联方</w:t>
      </w:r>
      <w:proofErr w:type="spellStart"/>
      <w:r w:rsidRPr="003A1532">
        <w:rPr>
          <w:rFonts w:ascii="Times New Roman" w:hAnsi="Times New Roman" w:hint="eastAsia"/>
          <w:sz w:val="24"/>
          <w:szCs w:val="28"/>
        </w:rPr>
        <w:t>Spectre</w:t>
      </w:r>
      <w:proofErr w:type="spellEnd"/>
      <w:r w:rsidRPr="003A1532">
        <w:rPr>
          <w:rFonts w:ascii="Times New Roman" w:hAnsi="Times New Roman" w:hint="eastAsia"/>
          <w:sz w:val="24"/>
          <w:szCs w:val="28"/>
        </w:rPr>
        <w:t>控制的公司。因</w:t>
      </w:r>
      <w:proofErr w:type="spellStart"/>
      <w:r w:rsidRPr="003A1532">
        <w:rPr>
          <w:rFonts w:ascii="Times New Roman" w:hAnsi="Times New Roman" w:hint="eastAsia"/>
          <w:sz w:val="24"/>
          <w:szCs w:val="28"/>
        </w:rPr>
        <w:t>Spectre</w:t>
      </w:r>
      <w:proofErr w:type="spellEnd"/>
      <w:r w:rsidRPr="003A1532">
        <w:rPr>
          <w:rFonts w:ascii="Times New Roman" w:hAnsi="Times New Roman" w:hint="eastAsia"/>
          <w:sz w:val="24"/>
          <w:szCs w:val="28"/>
        </w:rPr>
        <w:t>的实际控制人</w:t>
      </w:r>
      <w:r w:rsidRPr="003A1532">
        <w:rPr>
          <w:rFonts w:ascii="Times New Roman" w:hAnsi="Times New Roman" w:hint="eastAsia"/>
          <w:sz w:val="24"/>
          <w:szCs w:val="28"/>
        </w:rPr>
        <w:t>Erminio Ceresa</w:t>
      </w:r>
      <w:r w:rsidRPr="003A1532">
        <w:rPr>
          <w:rFonts w:ascii="Times New Roman" w:hAnsi="Times New Roman" w:hint="eastAsia"/>
          <w:sz w:val="24"/>
          <w:szCs w:val="28"/>
        </w:rPr>
        <w:t>是公司监事</w:t>
      </w:r>
      <w:r w:rsidRPr="003A1532">
        <w:rPr>
          <w:rFonts w:ascii="Times New Roman" w:hAnsi="Times New Roman" w:hint="eastAsia"/>
          <w:sz w:val="24"/>
          <w:szCs w:val="28"/>
        </w:rPr>
        <w:t>Fabrizio Ceresa</w:t>
      </w:r>
      <w:r w:rsidRPr="003A1532">
        <w:rPr>
          <w:rFonts w:ascii="Times New Roman" w:hAnsi="Times New Roman" w:hint="eastAsia"/>
          <w:sz w:val="24"/>
          <w:szCs w:val="28"/>
        </w:rPr>
        <w:t>的父亲，监事</w:t>
      </w:r>
      <w:r w:rsidRPr="003A1532">
        <w:rPr>
          <w:rFonts w:ascii="Times New Roman" w:hAnsi="Times New Roman" w:hint="eastAsia"/>
          <w:sz w:val="24"/>
          <w:szCs w:val="28"/>
        </w:rPr>
        <w:t>Fabrizio Ceresa</w:t>
      </w:r>
      <w:r w:rsidRPr="003A1532">
        <w:rPr>
          <w:rFonts w:ascii="Times New Roman" w:hAnsi="Times New Roman" w:hint="eastAsia"/>
          <w:sz w:val="24"/>
          <w:szCs w:val="28"/>
        </w:rPr>
        <w:t>是公司持股低于</w:t>
      </w:r>
      <w:r w:rsidRPr="003A1532">
        <w:rPr>
          <w:rFonts w:ascii="Times New Roman" w:hAnsi="Times New Roman" w:hint="eastAsia"/>
          <w:sz w:val="24"/>
          <w:szCs w:val="28"/>
        </w:rPr>
        <w:t>5%</w:t>
      </w:r>
      <w:r w:rsidRPr="003A1532">
        <w:rPr>
          <w:rFonts w:ascii="Times New Roman" w:hAnsi="Times New Roman" w:hint="eastAsia"/>
          <w:sz w:val="24"/>
          <w:szCs w:val="28"/>
        </w:rPr>
        <w:t>的少数股东</w:t>
      </w:r>
      <w:r w:rsidRPr="003A1532">
        <w:rPr>
          <w:rFonts w:ascii="Times New Roman" w:hAnsi="Times New Roman" w:hint="eastAsia"/>
          <w:sz w:val="24"/>
          <w:szCs w:val="28"/>
        </w:rPr>
        <w:t>Phinda Holding S.A.</w:t>
      </w:r>
      <w:r w:rsidRPr="003A1532">
        <w:rPr>
          <w:rFonts w:ascii="Times New Roman" w:hAnsi="Times New Roman" w:hint="eastAsia"/>
          <w:sz w:val="24"/>
          <w:szCs w:val="28"/>
        </w:rPr>
        <w:t>提名的股东监事。根据《上海证券交易所科创板股票上市规则》的相关规定，公司出售</w:t>
      </w:r>
      <w:r w:rsidRPr="003A1532">
        <w:rPr>
          <w:rFonts w:ascii="Times New Roman" w:hAnsi="Times New Roman" w:hint="eastAsia"/>
          <w:sz w:val="24"/>
          <w:szCs w:val="28"/>
        </w:rPr>
        <w:t>GME</w:t>
      </w:r>
      <w:r w:rsidRPr="003A1532">
        <w:rPr>
          <w:rFonts w:ascii="Times New Roman" w:hAnsi="Times New Roman" w:hint="eastAsia"/>
          <w:sz w:val="24"/>
          <w:szCs w:val="28"/>
        </w:rPr>
        <w:t>控制权后形成财务资助及预计新增财务资助构成关联交易。</w:t>
      </w:r>
    </w:p>
    <w:p w14:paraId="489C7C45" w14:textId="1E54ED46" w:rsidR="00100695" w:rsidRPr="003A1532" w:rsidRDefault="00100695" w:rsidP="00100695">
      <w:pPr>
        <w:spacing w:beforeLines="50" w:before="156" w:afterLines="50" w:after="156" w:line="360" w:lineRule="auto"/>
        <w:ind w:firstLineChars="200" w:firstLine="482"/>
        <w:outlineLvl w:val="0"/>
        <w:rPr>
          <w:rFonts w:ascii="Times New Roman" w:hAnsi="Times New Roman"/>
          <w:b/>
          <w:bCs/>
          <w:sz w:val="24"/>
          <w:szCs w:val="32"/>
        </w:rPr>
      </w:pPr>
      <w:r w:rsidRPr="003A1532">
        <w:rPr>
          <w:rFonts w:ascii="Times New Roman" w:hAnsi="Times New Roman" w:hint="eastAsia"/>
          <w:b/>
          <w:bCs/>
          <w:sz w:val="24"/>
          <w:szCs w:val="32"/>
        </w:rPr>
        <w:t>三、</w:t>
      </w:r>
      <w:r w:rsidR="0033353F" w:rsidRPr="003A1532">
        <w:rPr>
          <w:rFonts w:ascii="Times New Roman" w:hAnsi="Times New Roman" w:hint="eastAsia"/>
          <w:b/>
          <w:bCs/>
          <w:sz w:val="24"/>
          <w:szCs w:val="32"/>
        </w:rPr>
        <w:t>财务资助暨关联交易主要</w:t>
      </w:r>
      <w:r w:rsidRPr="003A1532">
        <w:rPr>
          <w:rFonts w:ascii="Times New Roman" w:hAnsi="Times New Roman" w:hint="eastAsia"/>
          <w:b/>
          <w:bCs/>
          <w:sz w:val="24"/>
          <w:szCs w:val="32"/>
        </w:rPr>
        <w:t>情况</w:t>
      </w:r>
    </w:p>
    <w:p w14:paraId="04A0BA07" w14:textId="38D80F4C" w:rsidR="006E3966" w:rsidRPr="003A1532" w:rsidRDefault="00F43CCC" w:rsidP="006E3966">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截至本核查意见出具日，公司通过子公司</w:t>
      </w:r>
      <w:r w:rsidRPr="003A1532">
        <w:rPr>
          <w:rFonts w:ascii="Times New Roman" w:hAnsi="Times New Roman" w:hint="eastAsia"/>
          <w:sz w:val="24"/>
          <w:szCs w:val="28"/>
        </w:rPr>
        <w:t>WFC</w:t>
      </w:r>
      <w:r w:rsidRPr="003A1532">
        <w:rPr>
          <w:rFonts w:ascii="Times New Roman" w:hAnsi="Times New Roman" w:hint="eastAsia"/>
          <w:sz w:val="24"/>
          <w:szCs w:val="28"/>
        </w:rPr>
        <w:t>向</w:t>
      </w:r>
      <w:r w:rsidRPr="003A1532">
        <w:rPr>
          <w:rFonts w:ascii="Times New Roman" w:hAnsi="Times New Roman" w:hint="eastAsia"/>
          <w:sz w:val="24"/>
          <w:szCs w:val="28"/>
        </w:rPr>
        <w:t>GME</w:t>
      </w:r>
      <w:r w:rsidRPr="003A1532">
        <w:rPr>
          <w:rFonts w:ascii="Times New Roman" w:hAnsi="Times New Roman" w:hint="eastAsia"/>
          <w:sz w:val="24"/>
          <w:szCs w:val="28"/>
        </w:rPr>
        <w:t>提供财务资助，借款余额</w:t>
      </w:r>
      <w:r w:rsidRPr="003A1532">
        <w:rPr>
          <w:rFonts w:ascii="Times New Roman" w:hAnsi="Times New Roman" w:hint="eastAsia"/>
          <w:sz w:val="24"/>
          <w:szCs w:val="28"/>
        </w:rPr>
        <w:t>400</w:t>
      </w:r>
      <w:r w:rsidRPr="003A1532">
        <w:rPr>
          <w:rFonts w:ascii="Times New Roman" w:hAnsi="Times New Roman" w:hint="eastAsia"/>
          <w:sz w:val="24"/>
          <w:szCs w:val="28"/>
        </w:rPr>
        <w:t>万欧元，借款利率为</w:t>
      </w:r>
      <w:r w:rsidRPr="003A1532">
        <w:rPr>
          <w:rFonts w:ascii="Times New Roman" w:hAnsi="Times New Roman" w:hint="eastAsia"/>
          <w:sz w:val="24"/>
          <w:szCs w:val="28"/>
        </w:rPr>
        <w:t>3</w:t>
      </w:r>
      <w:r w:rsidRPr="003A1532">
        <w:rPr>
          <w:rFonts w:ascii="Times New Roman" w:hAnsi="Times New Roman" w:hint="eastAsia"/>
          <w:sz w:val="24"/>
          <w:szCs w:val="28"/>
        </w:rPr>
        <w:t>个月期欧洲银行间欧元同业拆借利率</w:t>
      </w:r>
      <w:r w:rsidRPr="003A1532">
        <w:rPr>
          <w:rFonts w:ascii="Times New Roman" w:hAnsi="Times New Roman" w:hint="eastAsia"/>
          <w:sz w:val="24"/>
          <w:szCs w:val="28"/>
        </w:rPr>
        <w:t>+5.93%</w:t>
      </w:r>
      <w:r w:rsidR="006E3966" w:rsidRPr="003A1532">
        <w:rPr>
          <w:rFonts w:ascii="Times New Roman" w:hAnsi="Times New Roman" w:hint="eastAsia"/>
          <w:sz w:val="24"/>
          <w:szCs w:val="28"/>
        </w:rPr>
        <w:t>，原定还款日期为</w:t>
      </w:r>
      <w:r w:rsidR="006E3966" w:rsidRPr="003A1532">
        <w:rPr>
          <w:rFonts w:ascii="Times New Roman" w:hAnsi="Times New Roman" w:hint="eastAsia"/>
          <w:sz w:val="24"/>
          <w:szCs w:val="28"/>
        </w:rPr>
        <w:t>2023</w:t>
      </w:r>
      <w:r w:rsidR="006E3966" w:rsidRPr="003A1532">
        <w:rPr>
          <w:rFonts w:ascii="Times New Roman" w:hAnsi="Times New Roman" w:hint="eastAsia"/>
          <w:sz w:val="24"/>
          <w:szCs w:val="28"/>
        </w:rPr>
        <w:t>年</w:t>
      </w:r>
      <w:r w:rsidR="006E3966" w:rsidRPr="003A1532">
        <w:rPr>
          <w:rFonts w:ascii="Times New Roman" w:hAnsi="Times New Roman" w:hint="eastAsia"/>
          <w:sz w:val="24"/>
          <w:szCs w:val="28"/>
        </w:rPr>
        <w:t>12</w:t>
      </w:r>
      <w:r w:rsidR="006E3966" w:rsidRPr="003A1532">
        <w:rPr>
          <w:rFonts w:ascii="Times New Roman" w:hAnsi="Times New Roman" w:hint="eastAsia"/>
          <w:sz w:val="24"/>
          <w:szCs w:val="28"/>
        </w:rPr>
        <w:t>月</w:t>
      </w:r>
      <w:r w:rsidR="006E3966" w:rsidRPr="003A1532">
        <w:rPr>
          <w:rFonts w:ascii="Times New Roman" w:hAnsi="Times New Roman" w:hint="eastAsia"/>
          <w:sz w:val="24"/>
          <w:szCs w:val="28"/>
        </w:rPr>
        <w:t>29</w:t>
      </w:r>
      <w:r w:rsidR="006E3966" w:rsidRPr="003A1532">
        <w:rPr>
          <w:rFonts w:ascii="Times New Roman" w:hAnsi="Times New Roman" w:hint="eastAsia"/>
          <w:sz w:val="24"/>
          <w:szCs w:val="28"/>
        </w:rPr>
        <w:t>日。</w:t>
      </w:r>
      <w:r w:rsidR="0069761D" w:rsidRPr="003A1532">
        <w:rPr>
          <w:rFonts w:ascii="Times New Roman" w:hAnsi="Times New Roman" w:hint="eastAsia"/>
          <w:sz w:val="24"/>
          <w:szCs w:val="28"/>
        </w:rPr>
        <w:t>股权</w:t>
      </w:r>
      <w:r w:rsidR="006E3966" w:rsidRPr="003A1532">
        <w:rPr>
          <w:rFonts w:ascii="Times New Roman" w:hAnsi="Times New Roman" w:hint="eastAsia"/>
          <w:sz w:val="24"/>
          <w:szCs w:val="28"/>
        </w:rPr>
        <w:t>交易完成后，</w:t>
      </w:r>
      <w:r w:rsidR="006E3966" w:rsidRPr="003A1532">
        <w:rPr>
          <w:rFonts w:ascii="Times New Roman" w:hAnsi="Times New Roman" w:hint="eastAsia"/>
          <w:sz w:val="24"/>
          <w:szCs w:val="28"/>
        </w:rPr>
        <w:t>GME</w:t>
      </w:r>
      <w:r w:rsidR="006E3966" w:rsidRPr="003A1532">
        <w:rPr>
          <w:rFonts w:ascii="Times New Roman" w:hAnsi="Times New Roman" w:hint="eastAsia"/>
          <w:sz w:val="24"/>
          <w:szCs w:val="28"/>
        </w:rPr>
        <w:t>作为公司控股子公司期间，公司为支持其日常经营向其提供的借款将形成财务资助，在合同到期前公司将对原财务资助进行延期。同时于</w:t>
      </w:r>
      <w:proofErr w:type="gramStart"/>
      <w:r w:rsidR="006E3966" w:rsidRPr="003A1532">
        <w:rPr>
          <w:rFonts w:ascii="Times New Roman" w:hAnsi="Times New Roman" w:hint="eastAsia"/>
          <w:sz w:val="24"/>
          <w:szCs w:val="28"/>
        </w:rPr>
        <w:t>交割日前</w:t>
      </w:r>
      <w:proofErr w:type="gramEnd"/>
      <w:r w:rsidR="006E3966" w:rsidRPr="003A1532">
        <w:rPr>
          <w:rFonts w:ascii="Times New Roman" w:hAnsi="Times New Roman" w:hint="eastAsia"/>
          <w:sz w:val="24"/>
          <w:szCs w:val="28"/>
        </w:rPr>
        <w:t>GME</w:t>
      </w:r>
      <w:r w:rsidR="006E3966" w:rsidRPr="003A1532">
        <w:rPr>
          <w:rFonts w:ascii="Times New Roman" w:hAnsi="Times New Roman" w:hint="eastAsia"/>
          <w:sz w:val="24"/>
          <w:szCs w:val="28"/>
        </w:rPr>
        <w:t>与</w:t>
      </w:r>
      <w:proofErr w:type="spellStart"/>
      <w:r w:rsidR="006E3966" w:rsidRPr="003A1532">
        <w:rPr>
          <w:rFonts w:ascii="Times New Roman" w:hAnsi="Times New Roman" w:hint="eastAsia"/>
          <w:sz w:val="24"/>
          <w:szCs w:val="28"/>
        </w:rPr>
        <w:t>Spectre</w:t>
      </w:r>
      <w:proofErr w:type="spellEnd"/>
      <w:r w:rsidR="006E3966" w:rsidRPr="003A1532">
        <w:rPr>
          <w:rFonts w:ascii="Times New Roman" w:hAnsi="Times New Roman" w:hint="eastAsia"/>
          <w:sz w:val="24"/>
          <w:szCs w:val="28"/>
        </w:rPr>
        <w:t>将签订借款协议，</w:t>
      </w:r>
      <w:proofErr w:type="spellStart"/>
      <w:r w:rsidR="006E3966" w:rsidRPr="003A1532">
        <w:rPr>
          <w:rFonts w:ascii="Times New Roman" w:hAnsi="Times New Roman" w:hint="eastAsia"/>
          <w:sz w:val="24"/>
          <w:szCs w:val="28"/>
        </w:rPr>
        <w:t>Spectre</w:t>
      </w:r>
      <w:proofErr w:type="spellEnd"/>
      <w:r w:rsidR="006E3966" w:rsidRPr="003A1532">
        <w:rPr>
          <w:rFonts w:ascii="Times New Roman" w:hAnsi="Times New Roman" w:hint="eastAsia"/>
          <w:sz w:val="24"/>
          <w:szCs w:val="28"/>
        </w:rPr>
        <w:t>将为</w:t>
      </w:r>
      <w:r w:rsidR="006E3966" w:rsidRPr="003A1532">
        <w:rPr>
          <w:rFonts w:ascii="Times New Roman" w:hAnsi="Times New Roman" w:hint="eastAsia"/>
          <w:sz w:val="24"/>
          <w:szCs w:val="28"/>
        </w:rPr>
        <w:t>GME</w:t>
      </w:r>
      <w:r w:rsidR="006E3966" w:rsidRPr="003A1532">
        <w:rPr>
          <w:rFonts w:ascii="Times New Roman" w:hAnsi="Times New Roman" w:hint="eastAsia"/>
          <w:sz w:val="24"/>
          <w:szCs w:val="28"/>
        </w:rPr>
        <w:t>提供股东贷款</w:t>
      </w:r>
      <w:r w:rsidR="006E3966" w:rsidRPr="003A1532">
        <w:rPr>
          <w:rFonts w:ascii="Times New Roman" w:hAnsi="Times New Roman" w:hint="eastAsia"/>
          <w:sz w:val="24"/>
          <w:szCs w:val="28"/>
        </w:rPr>
        <w:t>400</w:t>
      </w:r>
      <w:r w:rsidR="006E3966" w:rsidRPr="003A1532">
        <w:rPr>
          <w:rFonts w:ascii="Times New Roman" w:hAnsi="Times New Roman" w:hint="eastAsia"/>
          <w:sz w:val="24"/>
          <w:szCs w:val="28"/>
        </w:rPr>
        <w:t>万欧元，</w:t>
      </w:r>
      <w:r w:rsidR="006E3966" w:rsidRPr="003A1532">
        <w:rPr>
          <w:rFonts w:ascii="Times New Roman" w:hAnsi="Times New Roman" w:hint="eastAsia"/>
          <w:sz w:val="24"/>
          <w:szCs w:val="28"/>
        </w:rPr>
        <w:t>GME</w:t>
      </w:r>
      <w:r w:rsidR="006E3966" w:rsidRPr="003A1532">
        <w:rPr>
          <w:rFonts w:ascii="Times New Roman" w:hAnsi="Times New Roman" w:hint="eastAsia"/>
          <w:sz w:val="24"/>
          <w:szCs w:val="28"/>
        </w:rPr>
        <w:t>将向公司全资子公司</w:t>
      </w:r>
      <w:r w:rsidR="006E3966" w:rsidRPr="003A1532">
        <w:rPr>
          <w:rFonts w:ascii="Times New Roman" w:hAnsi="Times New Roman" w:hint="eastAsia"/>
          <w:sz w:val="24"/>
          <w:szCs w:val="28"/>
        </w:rPr>
        <w:t>WFC</w:t>
      </w:r>
      <w:r w:rsidR="006E3966" w:rsidRPr="003A1532">
        <w:rPr>
          <w:rFonts w:ascii="Times New Roman" w:hAnsi="Times New Roman" w:hint="eastAsia"/>
          <w:sz w:val="24"/>
          <w:szCs w:val="28"/>
        </w:rPr>
        <w:t>归还</w:t>
      </w:r>
      <w:r w:rsidR="006E3966" w:rsidRPr="003A1532">
        <w:rPr>
          <w:rFonts w:ascii="Times New Roman" w:hAnsi="Times New Roman" w:hint="eastAsia"/>
          <w:sz w:val="24"/>
          <w:szCs w:val="28"/>
        </w:rPr>
        <w:t>15.68</w:t>
      </w:r>
      <w:r w:rsidR="006E3966" w:rsidRPr="003A1532">
        <w:rPr>
          <w:rFonts w:ascii="Times New Roman" w:hAnsi="Times New Roman" w:hint="eastAsia"/>
          <w:sz w:val="24"/>
          <w:szCs w:val="28"/>
        </w:rPr>
        <w:t>万欧元股东贷款，</w:t>
      </w:r>
      <w:r w:rsidR="006E3966" w:rsidRPr="003A1532">
        <w:rPr>
          <w:rFonts w:ascii="Times New Roman" w:hAnsi="Times New Roman" w:hint="eastAsia"/>
          <w:sz w:val="24"/>
          <w:szCs w:val="28"/>
        </w:rPr>
        <w:lastRenderedPageBreak/>
        <w:t>以保障各方股东按股份占比提供等比例股东借款。</w:t>
      </w:r>
    </w:p>
    <w:p w14:paraId="4A3BD947" w14:textId="55BD9822" w:rsidR="006E3966" w:rsidRPr="003A1532" w:rsidRDefault="006E3966" w:rsidP="006E3966">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根据公司与</w:t>
      </w:r>
      <w:proofErr w:type="spellStart"/>
      <w:r w:rsidRPr="003A1532">
        <w:rPr>
          <w:rFonts w:ascii="Times New Roman" w:hAnsi="Times New Roman" w:hint="eastAsia"/>
          <w:sz w:val="24"/>
          <w:szCs w:val="28"/>
        </w:rPr>
        <w:t>Spectre</w:t>
      </w:r>
      <w:proofErr w:type="spellEnd"/>
      <w:r w:rsidRPr="003A1532">
        <w:rPr>
          <w:rFonts w:ascii="Times New Roman" w:hAnsi="Times New Roman" w:hint="eastAsia"/>
          <w:sz w:val="24"/>
          <w:szCs w:val="28"/>
        </w:rPr>
        <w:t>签订的附条件生效的《股权转让协议》，未来如</w:t>
      </w:r>
      <w:r w:rsidRPr="003A1532">
        <w:rPr>
          <w:rFonts w:ascii="Times New Roman" w:hAnsi="Times New Roman" w:hint="eastAsia"/>
          <w:sz w:val="24"/>
          <w:szCs w:val="28"/>
        </w:rPr>
        <w:t>GME</w:t>
      </w:r>
      <w:r w:rsidRPr="003A1532">
        <w:rPr>
          <w:rFonts w:ascii="Times New Roman" w:hAnsi="Times New Roman" w:hint="eastAsia"/>
          <w:sz w:val="24"/>
          <w:szCs w:val="28"/>
        </w:rPr>
        <w:t>经营所需的财务资助，经各方股东履行相关审批及信息披露程序后，未来双方对</w:t>
      </w:r>
      <w:r w:rsidRPr="003A1532">
        <w:rPr>
          <w:rFonts w:ascii="Times New Roman" w:hAnsi="Times New Roman" w:hint="eastAsia"/>
          <w:sz w:val="24"/>
          <w:szCs w:val="28"/>
        </w:rPr>
        <w:t>GME</w:t>
      </w:r>
      <w:r w:rsidRPr="003A1532">
        <w:rPr>
          <w:rFonts w:ascii="Times New Roman" w:hAnsi="Times New Roman" w:hint="eastAsia"/>
          <w:sz w:val="24"/>
          <w:szCs w:val="28"/>
        </w:rPr>
        <w:t>借款将按股东占比提供总额不低于</w:t>
      </w:r>
      <w:r w:rsidRPr="003A1532">
        <w:rPr>
          <w:rFonts w:ascii="Times New Roman" w:hAnsi="Times New Roman" w:hint="eastAsia"/>
          <w:sz w:val="24"/>
          <w:szCs w:val="28"/>
        </w:rPr>
        <w:t>500</w:t>
      </w:r>
      <w:r w:rsidRPr="003A1532">
        <w:rPr>
          <w:rFonts w:ascii="Times New Roman" w:hAnsi="Times New Roman" w:hint="eastAsia"/>
          <w:sz w:val="24"/>
          <w:szCs w:val="28"/>
        </w:rPr>
        <w:t>万</w:t>
      </w:r>
      <w:proofErr w:type="gramStart"/>
      <w:r w:rsidRPr="003A1532">
        <w:rPr>
          <w:rFonts w:ascii="Times New Roman" w:hAnsi="Times New Roman" w:hint="eastAsia"/>
          <w:sz w:val="24"/>
          <w:szCs w:val="28"/>
        </w:rPr>
        <w:t>欧元且</w:t>
      </w:r>
      <w:proofErr w:type="gramEnd"/>
      <w:r w:rsidRPr="003A1532">
        <w:rPr>
          <w:rFonts w:ascii="Times New Roman" w:hAnsi="Times New Roman" w:hint="eastAsia"/>
          <w:sz w:val="24"/>
          <w:szCs w:val="28"/>
        </w:rPr>
        <w:t>不超过</w:t>
      </w:r>
      <w:r w:rsidRPr="003A1532">
        <w:rPr>
          <w:rFonts w:ascii="Times New Roman" w:hAnsi="Times New Roman" w:hint="eastAsia"/>
          <w:sz w:val="24"/>
          <w:szCs w:val="28"/>
        </w:rPr>
        <w:t>1,000</w:t>
      </w:r>
      <w:r w:rsidRPr="003A1532">
        <w:rPr>
          <w:rFonts w:ascii="Times New Roman" w:hAnsi="Times New Roman" w:hint="eastAsia"/>
          <w:sz w:val="24"/>
          <w:szCs w:val="28"/>
        </w:rPr>
        <w:t>万欧元的股东借款。届时公司将另行签订借款协议。</w:t>
      </w:r>
    </w:p>
    <w:p w14:paraId="473E9571" w14:textId="7F8D0476" w:rsidR="00100695" w:rsidRPr="003A1532" w:rsidRDefault="00100695" w:rsidP="00100695">
      <w:pPr>
        <w:spacing w:beforeLines="50" w:before="156" w:afterLines="50" w:after="156" w:line="360" w:lineRule="auto"/>
        <w:ind w:firstLineChars="200" w:firstLine="482"/>
        <w:outlineLvl w:val="0"/>
        <w:rPr>
          <w:rFonts w:ascii="Times New Roman" w:hAnsi="Times New Roman"/>
          <w:b/>
          <w:bCs/>
          <w:sz w:val="24"/>
          <w:szCs w:val="32"/>
        </w:rPr>
      </w:pPr>
      <w:r w:rsidRPr="003A1532">
        <w:rPr>
          <w:rFonts w:ascii="Times New Roman" w:hAnsi="Times New Roman" w:hint="eastAsia"/>
          <w:b/>
          <w:bCs/>
          <w:sz w:val="24"/>
          <w:szCs w:val="32"/>
        </w:rPr>
        <w:t>四、</w:t>
      </w:r>
      <w:r w:rsidR="0069761D" w:rsidRPr="003A1532">
        <w:rPr>
          <w:rFonts w:ascii="Times New Roman" w:hAnsi="Times New Roman" w:hint="eastAsia"/>
          <w:b/>
          <w:bCs/>
          <w:sz w:val="24"/>
          <w:szCs w:val="32"/>
        </w:rPr>
        <w:t>财务资助风险分析</w:t>
      </w:r>
      <w:proofErr w:type="gramStart"/>
      <w:r w:rsidR="0069761D" w:rsidRPr="003A1532">
        <w:rPr>
          <w:rFonts w:ascii="Times New Roman" w:hAnsi="Times New Roman" w:hint="eastAsia"/>
          <w:b/>
          <w:bCs/>
          <w:sz w:val="24"/>
          <w:szCs w:val="32"/>
        </w:rPr>
        <w:t>及风控措施</w:t>
      </w:r>
      <w:proofErr w:type="gramEnd"/>
    </w:p>
    <w:p w14:paraId="0FD77091" w14:textId="67DB4CCE" w:rsidR="0069761D" w:rsidRPr="003A1532" w:rsidRDefault="0069761D" w:rsidP="0069761D">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本次对</w:t>
      </w:r>
      <w:r w:rsidRPr="003A1532">
        <w:rPr>
          <w:rFonts w:ascii="Times New Roman" w:hAnsi="Times New Roman" w:hint="eastAsia"/>
          <w:sz w:val="24"/>
          <w:szCs w:val="28"/>
        </w:rPr>
        <w:t>GME</w:t>
      </w:r>
      <w:r w:rsidRPr="003A1532">
        <w:rPr>
          <w:rFonts w:ascii="Times New Roman" w:hAnsi="Times New Roman" w:hint="eastAsia"/>
          <w:sz w:val="24"/>
          <w:szCs w:val="28"/>
        </w:rPr>
        <w:t>存续的财务资助构成关联交易系公司</w:t>
      </w:r>
      <w:r w:rsidR="009E6A2D" w:rsidRPr="003A1532">
        <w:rPr>
          <w:rFonts w:ascii="Times New Roman" w:hAnsi="Times New Roman" w:hint="eastAsia"/>
          <w:sz w:val="24"/>
          <w:szCs w:val="28"/>
        </w:rPr>
        <w:t>拟</w:t>
      </w:r>
      <w:r w:rsidRPr="003A1532">
        <w:rPr>
          <w:rFonts w:ascii="Times New Roman" w:hAnsi="Times New Roman" w:hint="eastAsia"/>
          <w:sz w:val="24"/>
          <w:szCs w:val="28"/>
        </w:rPr>
        <w:t>转让所持</w:t>
      </w:r>
      <w:r w:rsidRPr="003A1532">
        <w:rPr>
          <w:rFonts w:ascii="Times New Roman" w:hAnsi="Times New Roman" w:hint="eastAsia"/>
          <w:sz w:val="24"/>
          <w:szCs w:val="28"/>
        </w:rPr>
        <w:t>GME51%</w:t>
      </w:r>
      <w:r w:rsidRPr="003A1532">
        <w:rPr>
          <w:rFonts w:ascii="Times New Roman" w:hAnsi="Times New Roman" w:hint="eastAsia"/>
          <w:sz w:val="24"/>
          <w:szCs w:val="28"/>
        </w:rPr>
        <w:t>股权导致该公司不再纳入公司合并报表范围导致，其业务实质为公司对原控股子公司日常经营性借款的延续，旨在保证被资助对象正常开展经营。公司未来对</w:t>
      </w:r>
      <w:r w:rsidRPr="003A1532">
        <w:rPr>
          <w:rFonts w:ascii="Times New Roman" w:hAnsi="Times New Roman" w:hint="eastAsia"/>
          <w:sz w:val="24"/>
          <w:szCs w:val="28"/>
        </w:rPr>
        <w:t>GME</w:t>
      </w:r>
      <w:r w:rsidRPr="003A1532">
        <w:rPr>
          <w:rFonts w:ascii="Times New Roman" w:hAnsi="Times New Roman" w:hint="eastAsia"/>
          <w:sz w:val="24"/>
          <w:szCs w:val="28"/>
        </w:rPr>
        <w:t>的财务资助将基于</w:t>
      </w:r>
      <w:r w:rsidRPr="003A1532">
        <w:rPr>
          <w:rFonts w:ascii="Times New Roman" w:hAnsi="Times New Roman" w:hint="eastAsia"/>
          <w:sz w:val="24"/>
          <w:szCs w:val="28"/>
        </w:rPr>
        <w:t>GME</w:t>
      </w:r>
      <w:r w:rsidRPr="003A1532">
        <w:rPr>
          <w:rFonts w:ascii="Times New Roman" w:hAnsi="Times New Roman" w:hint="eastAsia"/>
          <w:sz w:val="24"/>
          <w:szCs w:val="28"/>
        </w:rPr>
        <w:t>未来的经营情况由双方股东履行相关审批及信息披露程序后，按照股份占比提供总额</w:t>
      </w:r>
      <w:r w:rsidR="0007585F">
        <w:rPr>
          <w:rFonts w:ascii="Times New Roman" w:hAnsi="Times New Roman" w:hint="eastAsia"/>
          <w:sz w:val="24"/>
          <w:szCs w:val="28"/>
        </w:rPr>
        <w:t>不低于</w:t>
      </w:r>
      <w:r w:rsidR="0007585F">
        <w:rPr>
          <w:rFonts w:ascii="Times New Roman" w:hAnsi="Times New Roman" w:hint="eastAsia"/>
          <w:sz w:val="24"/>
          <w:szCs w:val="28"/>
        </w:rPr>
        <w:t>5</w:t>
      </w:r>
      <w:r w:rsidR="0007585F">
        <w:rPr>
          <w:rFonts w:ascii="Times New Roman" w:hAnsi="Times New Roman"/>
          <w:sz w:val="24"/>
          <w:szCs w:val="28"/>
        </w:rPr>
        <w:t>00</w:t>
      </w:r>
      <w:r w:rsidR="0007585F">
        <w:rPr>
          <w:rFonts w:ascii="Times New Roman" w:hAnsi="Times New Roman" w:hint="eastAsia"/>
          <w:sz w:val="24"/>
          <w:szCs w:val="28"/>
        </w:rPr>
        <w:t>万</w:t>
      </w:r>
      <w:proofErr w:type="gramStart"/>
      <w:r w:rsidR="0007585F">
        <w:rPr>
          <w:rFonts w:ascii="Times New Roman" w:hAnsi="Times New Roman" w:hint="eastAsia"/>
          <w:sz w:val="24"/>
          <w:szCs w:val="28"/>
        </w:rPr>
        <w:t>欧元且</w:t>
      </w:r>
      <w:proofErr w:type="gramEnd"/>
      <w:r w:rsidRPr="003A1532">
        <w:rPr>
          <w:rFonts w:ascii="Times New Roman" w:hAnsi="Times New Roman" w:hint="eastAsia"/>
          <w:sz w:val="24"/>
          <w:szCs w:val="28"/>
        </w:rPr>
        <w:t>不超过</w:t>
      </w:r>
      <w:r w:rsidRPr="003A1532">
        <w:rPr>
          <w:rFonts w:ascii="Times New Roman" w:hAnsi="Times New Roman" w:hint="eastAsia"/>
          <w:sz w:val="24"/>
          <w:szCs w:val="28"/>
        </w:rPr>
        <w:t>1,000</w:t>
      </w:r>
      <w:r w:rsidRPr="003A1532">
        <w:rPr>
          <w:rFonts w:ascii="Times New Roman" w:hAnsi="Times New Roman" w:hint="eastAsia"/>
          <w:sz w:val="24"/>
          <w:szCs w:val="28"/>
        </w:rPr>
        <w:t>万欧元的股东借款。</w:t>
      </w:r>
    </w:p>
    <w:p w14:paraId="4066D140" w14:textId="1C54F2B0" w:rsidR="0069761D" w:rsidRPr="003A1532" w:rsidRDefault="0069761D" w:rsidP="0069761D">
      <w:pPr>
        <w:spacing w:beforeLines="50" w:before="156" w:line="360" w:lineRule="auto"/>
        <w:ind w:firstLineChars="200" w:firstLine="480"/>
        <w:rPr>
          <w:rFonts w:ascii="Times New Roman" w:hAnsi="Times New Roman"/>
          <w:sz w:val="24"/>
          <w:szCs w:val="28"/>
        </w:rPr>
      </w:pPr>
      <w:r w:rsidRPr="003A1532">
        <w:rPr>
          <w:rFonts w:ascii="Times New Roman" w:hAnsi="Times New Roman"/>
          <w:sz w:val="24"/>
          <w:szCs w:val="28"/>
        </w:rPr>
        <w:t>该财务资助暨关联交易事项不影响公司日常资金周转需要、不影响公司主营业务的正常开展，不会损害公司及全体股东、特别是中小股东的利益。</w:t>
      </w:r>
    </w:p>
    <w:p w14:paraId="7B92EB29" w14:textId="7D37D8A4" w:rsidR="00100695" w:rsidRPr="003A1532" w:rsidRDefault="009E6A2D" w:rsidP="00100695">
      <w:pPr>
        <w:spacing w:beforeLines="50" w:before="156" w:afterLines="50" w:after="156" w:line="360" w:lineRule="auto"/>
        <w:ind w:firstLineChars="200" w:firstLine="482"/>
        <w:outlineLvl w:val="0"/>
        <w:rPr>
          <w:rFonts w:ascii="Times New Roman" w:hAnsi="Times New Roman"/>
          <w:b/>
          <w:bCs/>
          <w:sz w:val="24"/>
          <w:szCs w:val="32"/>
        </w:rPr>
      </w:pPr>
      <w:r w:rsidRPr="003A1532">
        <w:rPr>
          <w:rFonts w:ascii="Times New Roman" w:hAnsi="Times New Roman" w:hint="eastAsia"/>
          <w:b/>
          <w:bCs/>
          <w:sz w:val="24"/>
          <w:szCs w:val="32"/>
        </w:rPr>
        <w:t>五</w:t>
      </w:r>
      <w:r w:rsidR="00100695" w:rsidRPr="003A1532">
        <w:rPr>
          <w:rFonts w:ascii="Times New Roman" w:hAnsi="Times New Roman" w:hint="eastAsia"/>
          <w:b/>
          <w:bCs/>
          <w:sz w:val="24"/>
          <w:szCs w:val="32"/>
        </w:rPr>
        <w:t>、审议程序</w:t>
      </w:r>
    </w:p>
    <w:p w14:paraId="4E546FDE" w14:textId="0B82A686" w:rsidR="00100695" w:rsidRPr="003A1532" w:rsidRDefault="00100695" w:rsidP="00100695">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公司第三届董事会第</w:t>
      </w:r>
      <w:r w:rsidR="009E6A2D" w:rsidRPr="003A1532">
        <w:rPr>
          <w:rFonts w:ascii="Times New Roman" w:hAnsi="Times New Roman" w:hint="eastAsia"/>
          <w:sz w:val="24"/>
          <w:szCs w:val="28"/>
        </w:rPr>
        <w:t>十六</w:t>
      </w:r>
      <w:r w:rsidRPr="003A1532">
        <w:rPr>
          <w:rFonts w:ascii="Times New Roman" w:hAnsi="Times New Roman" w:hint="eastAsia"/>
          <w:sz w:val="24"/>
          <w:szCs w:val="28"/>
        </w:rPr>
        <w:t>次会议、第三届监事会第</w:t>
      </w:r>
      <w:r w:rsidR="009E6A2D" w:rsidRPr="003A1532">
        <w:rPr>
          <w:rFonts w:ascii="Times New Roman" w:hAnsi="Times New Roman" w:hint="eastAsia"/>
          <w:sz w:val="24"/>
          <w:szCs w:val="28"/>
        </w:rPr>
        <w:t>十三</w:t>
      </w:r>
      <w:r w:rsidRPr="003A1532">
        <w:rPr>
          <w:rFonts w:ascii="Times New Roman" w:hAnsi="Times New Roman" w:hint="eastAsia"/>
          <w:sz w:val="24"/>
          <w:szCs w:val="28"/>
        </w:rPr>
        <w:t>次会议，</w:t>
      </w:r>
      <w:r w:rsidR="00B31B46">
        <w:rPr>
          <w:rFonts w:ascii="Times New Roman" w:hAnsi="Times New Roman" w:hint="eastAsia"/>
          <w:sz w:val="24"/>
          <w:szCs w:val="28"/>
        </w:rPr>
        <w:t>分别</w:t>
      </w:r>
      <w:r w:rsidR="009E6A2D" w:rsidRPr="003A1532">
        <w:rPr>
          <w:rFonts w:ascii="Times New Roman" w:hAnsi="Times New Roman" w:hint="eastAsia"/>
          <w:sz w:val="24"/>
          <w:szCs w:val="28"/>
        </w:rPr>
        <w:t>审议通过了《关于出售</w:t>
      </w:r>
      <w:r w:rsidR="009E6A2D" w:rsidRPr="003A1532">
        <w:rPr>
          <w:rFonts w:ascii="Times New Roman" w:hAnsi="Times New Roman" w:hint="eastAsia"/>
          <w:sz w:val="24"/>
          <w:szCs w:val="28"/>
        </w:rPr>
        <w:t>GME</w:t>
      </w:r>
      <w:r w:rsidR="009E6A2D" w:rsidRPr="003A1532">
        <w:rPr>
          <w:rFonts w:ascii="Times New Roman" w:hAnsi="Times New Roman" w:hint="eastAsia"/>
          <w:sz w:val="24"/>
          <w:szCs w:val="28"/>
        </w:rPr>
        <w:t>控制权后形成财务资助及预计新增财务资助暨关联交易的议案》，其中关联监事</w:t>
      </w:r>
      <w:r w:rsidR="009E6A2D" w:rsidRPr="003A1532">
        <w:rPr>
          <w:rFonts w:ascii="Times New Roman" w:hAnsi="Times New Roman" w:hint="eastAsia"/>
          <w:sz w:val="24"/>
          <w:szCs w:val="28"/>
        </w:rPr>
        <w:t>Fabrizio Ceresa</w:t>
      </w:r>
      <w:r w:rsidR="009E6A2D" w:rsidRPr="003A1532">
        <w:rPr>
          <w:rFonts w:ascii="Times New Roman" w:hAnsi="Times New Roman" w:hint="eastAsia"/>
          <w:sz w:val="24"/>
          <w:szCs w:val="28"/>
        </w:rPr>
        <w:t>回避表决了该议案。相关事项尚需提交公司股东大会审议通过</w:t>
      </w:r>
      <w:r w:rsidR="0054065A">
        <w:rPr>
          <w:rFonts w:ascii="Times New Roman" w:hAnsi="Times New Roman" w:hint="eastAsia"/>
          <w:sz w:val="24"/>
          <w:szCs w:val="28"/>
        </w:rPr>
        <w:t>，关联股东需回避表决</w:t>
      </w:r>
      <w:r w:rsidR="009E6A2D" w:rsidRPr="003A1532">
        <w:rPr>
          <w:rFonts w:ascii="Times New Roman" w:hAnsi="Times New Roman" w:hint="eastAsia"/>
          <w:sz w:val="24"/>
          <w:szCs w:val="28"/>
        </w:rPr>
        <w:t>。</w:t>
      </w:r>
    </w:p>
    <w:p w14:paraId="185467C0" w14:textId="59882B96" w:rsidR="00100695" w:rsidRPr="003A1532" w:rsidRDefault="00100695" w:rsidP="009E6A2D">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公司独立董事对本事项发表了明确同意的独立意见。独立董事认为：</w:t>
      </w:r>
      <w:r w:rsidR="009E6A2D" w:rsidRPr="003A1532">
        <w:rPr>
          <w:rFonts w:ascii="Times New Roman" w:hAnsi="Times New Roman" w:hint="eastAsia"/>
          <w:sz w:val="24"/>
          <w:szCs w:val="28"/>
        </w:rPr>
        <w:t>本次出售</w:t>
      </w:r>
      <w:r w:rsidR="009E6A2D" w:rsidRPr="003A1532">
        <w:rPr>
          <w:rFonts w:ascii="Times New Roman" w:hAnsi="Times New Roman" w:hint="eastAsia"/>
          <w:sz w:val="24"/>
          <w:szCs w:val="28"/>
        </w:rPr>
        <w:t>GME</w:t>
      </w:r>
      <w:r w:rsidR="009E6A2D" w:rsidRPr="003A1532">
        <w:rPr>
          <w:rFonts w:ascii="Times New Roman" w:hAnsi="Times New Roman" w:hint="eastAsia"/>
          <w:sz w:val="24"/>
          <w:szCs w:val="28"/>
        </w:rPr>
        <w:t>控制权后，公司对参股公司提供的财务资助将构成关联交易系公司全资子公司</w:t>
      </w:r>
      <w:r w:rsidR="009E6A2D" w:rsidRPr="003A1532">
        <w:rPr>
          <w:rFonts w:ascii="Times New Roman" w:hAnsi="Times New Roman" w:hint="eastAsia"/>
          <w:sz w:val="24"/>
          <w:szCs w:val="28"/>
        </w:rPr>
        <w:t>WFC</w:t>
      </w:r>
      <w:r w:rsidR="009E6A2D" w:rsidRPr="003A1532">
        <w:rPr>
          <w:rFonts w:ascii="Times New Roman" w:hAnsi="Times New Roman" w:hint="eastAsia"/>
          <w:sz w:val="24"/>
          <w:szCs w:val="28"/>
        </w:rPr>
        <w:t>转让其所持控股子公司股权所致。对于目前存续的财务资助，公司将在合同到期前对原财务资助进行延期。同时于</w:t>
      </w:r>
      <w:proofErr w:type="gramStart"/>
      <w:r w:rsidR="009E6A2D" w:rsidRPr="003A1532">
        <w:rPr>
          <w:rFonts w:ascii="Times New Roman" w:hAnsi="Times New Roman" w:hint="eastAsia"/>
          <w:sz w:val="24"/>
          <w:szCs w:val="28"/>
        </w:rPr>
        <w:t>交割日前</w:t>
      </w:r>
      <w:proofErr w:type="gramEnd"/>
      <w:r w:rsidR="009E6A2D" w:rsidRPr="003A1532">
        <w:rPr>
          <w:rFonts w:ascii="Times New Roman" w:hAnsi="Times New Roman" w:hint="eastAsia"/>
          <w:sz w:val="24"/>
          <w:szCs w:val="28"/>
        </w:rPr>
        <w:t>GME</w:t>
      </w:r>
      <w:r w:rsidR="009E6A2D" w:rsidRPr="003A1532">
        <w:rPr>
          <w:rFonts w:ascii="Times New Roman" w:hAnsi="Times New Roman" w:hint="eastAsia"/>
          <w:sz w:val="24"/>
          <w:szCs w:val="28"/>
        </w:rPr>
        <w:t>与</w:t>
      </w:r>
      <w:proofErr w:type="spellStart"/>
      <w:r w:rsidR="009E6A2D" w:rsidRPr="003A1532">
        <w:rPr>
          <w:rFonts w:ascii="Times New Roman" w:hAnsi="Times New Roman" w:hint="eastAsia"/>
          <w:sz w:val="24"/>
          <w:szCs w:val="28"/>
        </w:rPr>
        <w:t>Spectre</w:t>
      </w:r>
      <w:proofErr w:type="spellEnd"/>
      <w:r w:rsidR="009E6A2D" w:rsidRPr="003A1532">
        <w:rPr>
          <w:rFonts w:ascii="Times New Roman" w:hAnsi="Times New Roman" w:hint="eastAsia"/>
          <w:sz w:val="24"/>
          <w:szCs w:val="28"/>
        </w:rPr>
        <w:t>将签订借款协议，</w:t>
      </w:r>
      <w:proofErr w:type="spellStart"/>
      <w:r w:rsidR="009E6A2D" w:rsidRPr="003A1532">
        <w:rPr>
          <w:rFonts w:ascii="Times New Roman" w:hAnsi="Times New Roman" w:hint="eastAsia"/>
          <w:sz w:val="24"/>
          <w:szCs w:val="28"/>
        </w:rPr>
        <w:t>Spectre</w:t>
      </w:r>
      <w:proofErr w:type="spellEnd"/>
      <w:r w:rsidR="009E6A2D" w:rsidRPr="003A1532">
        <w:rPr>
          <w:rFonts w:ascii="Times New Roman" w:hAnsi="Times New Roman" w:hint="eastAsia"/>
          <w:sz w:val="24"/>
          <w:szCs w:val="28"/>
        </w:rPr>
        <w:t>将为</w:t>
      </w:r>
      <w:r w:rsidR="009E6A2D" w:rsidRPr="003A1532">
        <w:rPr>
          <w:rFonts w:ascii="Times New Roman" w:hAnsi="Times New Roman" w:hint="eastAsia"/>
          <w:sz w:val="24"/>
          <w:szCs w:val="28"/>
        </w:rPr>
        <w:t>GME</w:t>
      </w:r>
      <w:r w:rsidR="009E6A2D" w:rsidRPr="003A1532">
        <w:rPr>
          <w:rFonts w:ascii="Times New Roman" w:hAnsi="Times New Roman" w:hint="eastAsia"/>
          <w:sz w:val="24"/>
          <w:szCs w:val="28"/>
        </w:rPr>
        <w:t>提供股东贷款</w:t>
      </w:r>
      <w:r w:rsidR="009E6A2D" w:rsidRPr="003A1532">
        <w:rPr>
          <w:rFonts w:ascii="Times New Roman" w:hAnsi="Times New Roman" w:hint="eastAsia"/>
          <w:sz w:val="24"/>
          <w:szCs w:val="28"/>
        </w:rPr>
        <w:t>400</w:t>
      </w:r>
      <w:r w:rsidR="009E6A2D" w:rsidRPr="003A1532">
        <w:rPr>
          <w:rFonts w:ascii="Times New Roman" w:hAnsi="Times New Roman" w:hint="eastAsia"/>
          <w:sz w:val="24"/>
          <w:szCs w:val="28"/>
        </w:rPr>
        <w:t>万欧元，</w:t>
      </w:r>
      <w:r w:rsidR="009E6A2D" w:rsidRPr="003A1532">
        <w:rPr>
          <w:rFonts w:ascii="Times New Roman" w:hAnsi="Times New Roman" w:hint="eastAsia"/>
          <w:sz w:val="24"/>
          <w:szCs w:val="28"/>
        </w:rPr>
        <w:t>GME</w:t>
      </w:r>
      <w:r w:rsidR="009E6A2D" w:rsidRPr="003A1532">
        <w:rPr>
          <w:rFonts w:ascii="Times New Roman" w:hAnsi="Times New Roman" w:hint="eastAsia"/>
          <w:sz w:val="24"/>
          <w:szCs w:val="28"/>
        </w:rPr>
        <w:t>将向</w:t>
      </w:r>
      <w:r w:rsidR="009E6A2D" w:rsidRPr="003A1532">
        <w:rPr>
          <w:rFonts w:ascii="Times New Roman" w:hAnsi="Times New Roman" w:hint="eastAsia"/>
          <w:sz w:val="24"/>
          <w:szCs w:val="28"/>
        </w:rPr>
        <w:t>WFC</w:t>
      </w:r>
      <w:r w:rsidR="009E6A2D" w:rsidRPr="003A1532">
        <w:rPr>
          <w:rFonts w:ascii="Times New Roman" w:hAnsi="Times New Roman" w:hint="eastAsia"/>
          <w:sz w:val="24"/>
          <w:szCs w:val="28"/>
        </w:rPr>
        <w:t>归还</w:t>
      </w:r>
      <w:r w:rsidR="009E6A2D" w:rsidRPr="003A1532">
        <w:rPr>
          <w:rFonts w:ascii="Times New Roman" w:hAnsi="Times New Roman" w:hint="eastAsia"/>
          <w:sz w:val="24"/>
          <w:szCs w:val="28"/>
        </w:rPr>
        <w:t>15.68</w:t>
      </w:r>
      <w:r w:rsidR="009E6A2D" w:rsidRPr="003A1532">
        <w:rPr>
          <w:rFonts w:ascii="Times New Roman" w:hAnsi="Times New Roman" w:hint="eastAsia"/>
          <w:sz w:val="24"/>
          <w:szCs w:val="28"/>
        </w:rPr>
        <w:t>万欧元股东贷款，以保障各方股东按股份占比提供等比例股东借款。对于未来</w:t>
      </w:r>
      <w:r w:rsidR="009E6A2D" w:rsidRPr="003A1532">
        <w:rPr>
          <w:rFonts w:ascii="Times New Roman" w:hAnsi="Times New Roman" w:hint="eastAsia"/>
          <w:sz w:val="24"/>
          <w:szCs w:val="28"/>
        </w:rPr>
        <w:t>GME</w:t>
      </w:r>
      <w:r w:rsidR="009E6A2D" w:rsidRPr="003A1532">
        <w:rPr>
          <w:rFonts w:ascii="Times New Roman" w:hAnsi="Times New Roman" w:hint="eastAsia"/>
          <w:sz w:val="24"/>
          <w:szCs w:val="28"/>
        </w:rPr>
        <w:t>经营所需的财务资助，股东将按股份占比提供总额</w:t>
      </w:r>
      <w:r w:rsidR="0007585F">
        <w:rPr>
          <w:rFonts w:ascii="Times New Roman" w:hAnsi="Times New Roman" w:hint="eastAsia"/>
          <w:sz w:val="24"/>
          <w:szCs w:val="28"/>
        </w:rPr>
        <w:t>不低于</w:t>
      </w:r>
      <w:r w:rsidR="0007585F">
        <w:rPr>
          <w:rFonts w:ascii="Times New Roman" w:hAnsi="Times New Roman" w:hint="eastAsia"/>
          <w:sz w:val="24"/>
          <w:szCs w:val="28"/>
        </w:rPr>
        <w:t>5</w:t>
      </w:r>
      <w:r w:rsidR="0007585F">
        <w:rPr>
          <w:rFonts w:ascii="Times New Roman" w:hAnsi="Times New Roman"/>
          <w:sz w:val="24"/>
          <w:szCs w:val="28"/>
        </w:rPr>
        <w:t>00</w:t>
      </w:r>
      <w:r w:rsidR="0007585F">
        <w:rPr>
          <w:rFonts w:ascii="Times New Roman" w:hAnsi="Times New Roman" w:hint="eastAsia"/>
          <w:sz w:val="24"/>
          <w:szCs w:val="28"/>
        </w:rPr>
        <w:t>万</w:t>
      </w:r>
      <w:proofErr w:type="gramStart"/>
      <w:r w:rsidR="0007585F">
        <w:rPr>
          <w:rFonts w:ascii="Times New Roman" w:hAnsi="Times New Roman" w:hint="eastAsia"/>
          <w:sz w:val="24"/>
          <w:szCs w:val="28"/>
        </w:rPr>
        <w:t>欧元且</w:t>
      </w:r>
      <w:proofErr w:type="gramEnd"/>
      <w:r w:rsidR="009E6A2D" w:rsidRPr="003A1532">
        <w:rPr>
          <w:rFonts w:ascii="Times New Roman" w:hAnsi="Times New Roman" w:hint="eastAsia"/>
          <w:sz w:val="24"/>
          <w:szCs w:val="28"/>
        </w:rPr>
        <w:t>不超过</w:t>
      </w:r>
      <w:r w:rsidR="009E6A2D" w:rsidRPr="003A1532">
        <w:rPr>
          <w:rFonts w:ascii="Times New Roman" w:hAnsi="Times New Roman" w:hint="eastAsia"/>
          <w:sz w:val="24"/>
          <w:szCs w:val="28"/>
        </w:rPr>
        <w:t>1,000</w:t>
      </w:r>
      <w:r w:rsidR="009E6A2D" w:rsidRPr="003A1532">
        <w:rPr>
          <w:rFonts w:ascii="Times New Roman" w:hAnsi="Times New Roman" w:hint="eastAsia"/>
          <w:sz w:val="24"/>
          <w:szCs w:val="28"/>
        </w:rPr>
        <w:t>万欧元的股东借款。本次财务资助风险处于可控制范围内，不存在损害公司和中小股东利益的行为，符合公司整体利益。本次财务资助暨关联交易事项按照相关规定履行了必要的决策程序，符</w:t>
      </w:r>
      <w:r w:rsidR="009E6A2D" w:rsidRPr="003A1532">
        <w:rPr>
          <w:rFonts w:ascii="Times New Roman" w:hAnsi="Times New Roman" w:hint="eastAsia"/>
          <w:sz w:val="24"/>
          <w:szCs w:val="28"/>
        </w:rPr>
        <w:lastRenderedPageBreak/>
        <w:t>合相关法律法规及其他规范性文件等的规定。公司董事会在审议关联交易事项时，表决程序合法、有效。因此，我们一致同意《关于出售</w:t>
      </w:r>
      <w:r w:rsidR="009E6A2D" w:rsidRPr="003A1532">
        <w:rPr>
          <w:rFonts w:ascii="Times New Roman" w:hAnsi="Times New Roman" w:hint="eastAsia"/>
          <w:sz w:val="24"/>
          <w:szCs w:val="28"/>
        </w:rPr>
        <w:t>GME</w:t>
      </w:r>
      <w:r w:rsidR="009E6A2D" w:rsidRPr="003A1532">
        <w:rPr>
          <w:rFonts w:ascii="Times New Roman" w:hAnsi="Times New Roman" w:hint="eastAsia"/>
          <w:sz w:val="24"/>
          <w:szCs w:val="28"/>
        </w:rPr>
        <w:t>控制权后形成财务资助及预计新增财务资助暨关联交易议案》。</w:t>
      </w:r>
    </w:p>
    <w:p w14:paraId="791CEAE4" w14:textId="7843EBA1" w:rsidR="00100695" w:rsidRPr="003A1532" w:rsidRDefault="009E6A2D" w:rsidP="00100695">
      <w:pPr>
        <w:spacing w:beforeLines="50" w:before="156" w:afterLines="50" w:after="156" w:line="360" w:lineRule="auto"/>
        <w:ind w:firstLineChars="200" w:firstLine="482"/>
        <w:outlineLvl w:val="0"/>
        <w:rPr>
          <w:rFonts w:ascii="Times New Roman" w:hAnsi="Times New Roman"/>
          <w:b/>
          <w:bCs/>
          <w:sz w:val="24"/>
          <w:szCs w:val="32"/>
        </w:rPr>
      </w:pPr>
      <w:r w:rsidRPr="003A1532">
        <w:rPr>
          <w:rFonts w:ascii="Times New Roman" w:hAnsi="Times New Roman" w:hint="eastAsia"/>
          <w:b/>
          <w:bCs/>
          <w:sz w:val="24"/>
          <w:szCs w:val="32"/>
        </w:rPr>
        <w:t>六</w:t>
      </w:r>
      <w:r w:rsidR="00100695" w:rsidRPr="003A1532">
        <w:rPr>
          <w:rFonts w:ascii="Times New Roman" w:hAnsi="Times New Roman"/>
          <w:b/>
          <w:bCs/>
          <w:sz w:val="24"/>
          <w:szCs w:val="32"/>
        </w:rPr>
        <w:t>、</w:t>
      </w:r>
      <w:r w:rsidR="00100695" w:rsidRPr="003A1532">
        <w:rPr>
          <w:rFonts w:ascii="Times New Roman" w:hAnsi="Times New Roman" w:hint="eastAsia"/>
          <w:b/>
          <w:bCs/>
          <w:sz w:val="24"/>
          <w:szCs w:val="32"/>
        </w:rPr>
        <w:t>保荐机构</w:t>
      </w:r>
      <w:r w:rsidR="00100695" w:rsidRPr="003A1532">
        <w:rPr>
          <w:rFonts w:ascii="Times New Roman" w:hAnsi="Times New Roman"/>
          <w:b/>
          <w:bCs/>
          <w:sz w:val="24"/>
          <w:szCs w:val="32"/>
        </w:rPr>
        <w:t>核查意见</w:t>
      </w:r>
    </w:p>
    <w:p w14:paraId="656C2B3B" w14:textId="77777777" w:rsidR="00100695" w:rsidRPr="003A1532" w:rsidRDefault="00100695" w:rsidP="00100695">
      <w:pPr>
        <w:spacing w:beforeLines="50" w:before="156" w:line="360" w:lineRule="auto"/>
        <w:ind w:firstLineChars="200" w:firstLine="480"/>
        <w:rPr>
          <w:rFonts w:ascii="Times New Roman" w:hAnsi="Times New Roman"/>
          <w:sz w:val="24"/>
          <w:szCs w:val="28"/>
        </w:rPr>
      </w:pPr>
      <w:r w:rsidRPr="003A1532">
        <w:rPr>
          <w:rFonts w:ascii="Times New Roman" w:hAnsi="Times New Roman"/>
          <w:sz w:val="24"/>
          <w:szCs w:val="28"/>
        </w:rPr>
        <w:t>经核查，</w:t>
      </w:r>
      <w:r w:rsidRPr="003A1532">
        <w:rPr>
          <w:rFonts w:ascii="Times New Roman" w:hAnsi="Times New Roman" w:hint="eastAsia"/>
          <w:sz w:val="24"/>
          <w:szCs w:val="28"/>
        </w:rPr>
        <w:t>保荐机构</w:t>
      </w:r>
      <w:r w:rsidRPr="003A1532">
        <w:rPr>
          <w:rFonts w:ascii="Times New Roman" w:hAnsi="Times New Roman"/>
          <w:sz w:val="24"/>
          <w:szCs w:val="28"/>
        </w:rPr>
        <w:t>认为：</w:t>
      </w:r>
    </w:p>
    <w:p w14:paraId="01C360C3" w14:textId="756C5EE0" w:rsidR="00100695" w:rsidRPr="003A1532" w:rsidRDefault="00100695" w:rsidP="00100695">
      <w:pPr>
        <w:spacing w:beforeLines="50" w:before="156" w:line="360" w:lineRule="auto"/>
        <w:ind w:firstLineChars="200" w:firstLine="480"/>
        <w:rPr>
          <w:rFonts w:ascii="Times New Roman" w:hAnsi="Times New Roman"/>
          <w:sz w:val="24"/>
          <w:szCs w:val="28"/>
        </w:rPr>
      </w:pPr>
      <w:proofErr w:type="gramStart"/>
      <w:r w:rsidRPr="003A1532">
        <w:rPr>
          <w:rFonts w:ascii="Times New Roman" w:hAnsi="Times New Roman" w:hint="eastAsia"/>
          <w:sz w:val="24"/>
          <w:szCs w:val="28"/>
        </w:rPr>
        <w:t>埃夫特</w:t>
      </w:r>
      <w:proofErr w:type="gramEnd"/>
      <w:r w:rsidR="009E6A2D" w:rsidRPr="003A1532">
        <w:rPr>
          <w:rFonts w:ascii="Times New Roman" w:hAnsi="Times New Roman" w:hint="eastAsia"/>
          <w:sz w:val="24"/>
          <w:szCs w:val="28"/>
        </w:rPr>
        <w:t>出售</w:t>
      </w:r>
      <w:r w:rsidR="009E6A2D" w:rsidRPr="003A1532">
        <w:rPr>
          <w:rFonts w:ascii="Times New Roman" w:hAnsi="Times New Roman" w:hint="eastAsia"/>
          <w:sz w:val="24"/>
          <w:szCs w:val="28"/>
        </w:rPr>
        <w:t>GME</w:t>
      </w:r>
      <w:r w:rsidR="009E6A2D" w:rsidRPr="003A1532">
        <w:rPr>
          <w:rFonts w:ascii="Times New Roman" w:hAnsi="Times New Roman" w:hint="eastAsia"/>
          <w:sz w:val="24"/>
          <w:szCs w:val="28"/>
        </w:rPr>
        <w:t>控制权后形成财务资助及预计新增财务资助暨关联交易</w:t>
      </w:r>
      <w:r w:rsidRPr="003A1532">
        <w:rPr>
          <w:rFonts w:ascii="Times New Roman" w:hAnsi="Times New Roman" w:hint="eastAsia"/>
          <w:sz w:val="24"/>
          <w:szCs w:val="28"/>
        </w:rPr>
        <w:t>事项已经董事会、监事会审议通过，关联</w:t>
      </w:r>
      <w:r w:rsidR="009E6A2D" w:rsidRPr="003A1532">
        <w:rPr>
          <w:rFonts w:ascii="Times New Roman" w:hAnsi="Times New Roman" w:hint="eastAsia"/>
          <w:sz w:val="24"/>
          <w:szCs w:val="28"/>
        </w:rPr>
        <w:t>监</w:t>
      </w:r>
      <w:r w:rsidRPr="003A1532">
        <w:rPr>
          <w:rFonts w:ascii="Times New Roman" w:hAnsi="Times New Roman" w:hint="eastAsia"/>
          <w:sz w:val="24"/>
          <w:szCs w:val="28"/>
        </w:rPr>
        <w:t>事已回避表决，</w:t>
      </w:r>
      <w:r w:rsidR="009E6A2D" w:rsidRPr="003A1532">
        <w:rPr>
          <w:rFonts w:ascii="Times New Roman" w:hAnsi="Times New Roman" w:hint="eastAsia"/>
          <w:sz w:val="24"/>
          <w:szCs w:val="28"/>
        </w:rPr>
        <w:t>独立董事发表了明确同意的独立意见，相关事项尚需提交公司股东大会审议通过。公司</w:t>
      </w:r>
      <w:r w:rsidRPr="003A1532">
        <w:rPr>
          <w:rFonts w:ascii="Times New Roman" w:hAnsi="Times New Roman" w:hint="eastAsia"/>
          <w:sz w:val="24"/>
          <w:szCs w:val="28"/>
        </w:rPr>
        <w:t>履行</w:t>
      </w:r>
      <w:r w:rsidR="009E6A2D" w:rsidRPr="003A1532">
        <w:rPr>
          <w:rFonts w:ascii="Times New Roman" w:hAnsi="Times New Roman" w:hint="eastAsia"/>
          <w:sz w:val="24"/>
          <w:szCs w:val="28"/>
        </w:rPr>
        <w:t>的相关</w:t>
      </w:r>
      <w:r w:rsidRPr="003A1532">
        <w:rPr>
          <w:rFonts w:ascii="Times New Roman" w:hAnsi="Times New Roman" w:hint="eastAsia"/>
          <w:sz w:val="24"/>
          <w:szCs w:val="28"/>
        </w:rPr>
        <w:t>审议程序符合相关法律法规、规范性文件的要求，不存在损害公司和全体股东，特别是中小股东利益的情形。本保荐机构</w:t>
      </w:r>
      <w:proofErr w:type="gramStart"/>
      <w:r w:rsidRPr="003A1532">
        <w:rPr>
          <w:rFonts w:ascii="Times New Roman" w:hAnsi="Times New Roman" w:hint="eastAsia"/>
          <w:sz w:val="24"/>
          <w:szCs w:val="28"/>
        </w:rPr>
        <w:t>对埃夫特</w:t>
      </w:r>
      <w:proofErr w:type="gramEnd"/>
      <w:r w:rsidR="009E6A2D" w:rsidRPr="003A1532">
        <w:rPr>
          <w:rFonts w:ascii="Times New Roman" w:hAnsi="Times New Roman" w:hint="eastAsia"/>
          <w:sz w:val="24"/>
          <w:szCs w:val="28"/>
        </w:rPr>
        <w:t>出售</w:t>
      </w:r>
      <w:r w:rsidR="009E6A2D" w:rsidRPr="003A1532">
        <w:rPr>
          <w:rFonts w:ascii="Times New Roman" w:hAnsi="Times New Roman" w:hint="eastAsia"/>
          <w:sz w:val="24"/>
          <w:szCs w:val="28"/>
        </w:rPr>
        <w:t>GME</w:t>
      </w:r>
      <w:r w:rsidR="009E6A2D" w:rsidRPr="003A1532">
        <w:rPr>
          <w:rFonts w:ascii="Times New Roman" w:hAnsi="Times New Roman" w:hint="eastAsia"/>
          <w:sz w:val="24"/>
          <w:szCs w:val="28"/>
        </w:rPr>
        <w:t>控制权后形成财务资助及预计新增财务资助</w:t>
      </w:r>
      <w:r w:rsidRPr="003A1532">
        <w:rPr>
          <w:rFonts w:ascii="Times New Roman" w:hAnsi="Times New Roman" w:hint="eastAsia"/>
          <w:sz w:val="24"/>
          <w:szCs w:val="28"/>
        </w:rPr>
        <w:t>暨关联交易事项无异议。</w:t>
      </w:r>
    </w:p>
    <w:p w14:paraId="3F63C2A6" w14:textId="77FB03B7" w:rsidR="00100695" w:rsidRPr="003A1532" w:rsidRDefault="00100695" w:rsidP="00100695">
      <w:pPr>
        <w:spacing w:beforeLines="50" w:before="156" w:line="360" w:lineRule="auto"/>
        <w:ind w:firstLineChars="200" w:firstLine="480"/>
        <w:rPr>
          <w:rFonts w:ascii="Times New Roman" w:hAnsi="Times New Roman"/>
          <w:sz w:val="24"/>
          <w:szCs w:val="28"/>
        </w:rPr>
      </w:pPr>
      <w:r w:rsidRPr="003A1532">
        <w:rPr>
          <w:rFonts w:ascii="Times New Roman" w:hAnsi="Times New Roman" w:hint="eastAsia"/>
          <w:sz w:val="24"/>
          <w:szCs w:val="28"/>
        </w:rPr>
        <w:t>（以下无正文）</w:t>
      </w:r>
      <w:r w:rsidRPr="003A1532">
        <w:rPr>
          <w:rFonts w:ascii="Times New Roman" w:hAnsi="Times New Roman"/>
          <w:sz w:val="24"/>
          <w:szCs w:val="28"/>
        </w:rPr>
        <w:br w:type="page"/>
      </w:r>
      <w:r w:rsidR="00276A5C">
        <w:rPr>
          <w:noProof/>
        </w:rPr>
        <w:lastRenderedPageBreak/>
        <w:drawing>
          <wp:anchor distT="0" distB="0" distL="114300" distR="114300" simplePos="0" relativeHeight="251655680" behindDoc="0" locked="0" layoutInCell="1" allowOverlap="1" wp14:anchorId="6517CFAD" wp14:editId="712ADBAD">
            <wp:simplePos x="0" y="0"/>
            <wp:positionH relativeFrom="column">
              <wp:posOffset>-969433</wp:posOffset>
            </wp:positionH>
            <wp:positionV relativeFrom="paragraph">
              <wp:posOffset>-905933</wp:posOffset>
            </wp:positionV>
            <wp:extent cx="7524000" cy="10638000"/>
            <wp:effectExtent l="0" t="0" r="1270" b="0"/>
            <wp:wrapNone/>
            <wp:docPr id="79849999" name="图片 1"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49999" name="图片 1" descr="图示&#10;&#10;中度可信度描述已自动生成"/>
                    <pic:cNvPicPr/>
                  </pic:nvPicPr>
                  <pic:blipFill>
                    <a:blip r:embed="rId6">
                      <a:extLst>
                        <a:ext uri="{28A0092B-C50C-407E-A947-70E740481C1C}">
                          <a14:useLocalDpi xmlns:a14="http://schemas.microsoft.com/office/drawing/2010/main" val="0"/>
                        </a:ext>
                      </a:extLst>
                    </a:blip>
                    <a:stretch>
                      <a:fillRect/>
                    </a:stretch>
                  </pic:blipFill>
                  <pic:spPr>
                    <a:xfrm>
                      <a:off x="0" y="0"/>
                      <a:ext cx="7524000" cy="10638000"/>
                    </a:xfrm>
                    <a:prstGeom prst="rect">
                      <a:avLst/>
                    </a:prstGeom>
                  </pic:spPr>
                </pic:pic>
              </a:graphicData>
            </a:graphic>
            <wp14:sizeRelH relativeFrom="margin">
              <wp14:pctWidth>0</wp14:pctWidth>
            </wp14:sizeRelH>
            <wp14:sizeRelV relativeFrom="margin">
              <wp14:pctHeight>0</wp14:pctHeight>
            </wp14:sizeRelV>
          </wp:anchor>
        </w:drawing>
      </w:r>
      <w:r w:rsidRPr="003A1532">
        <w:rPr>
          <w:rFonts w:ascii="Times New Roman" w:hAnsi="Times New Roman"/>
          <w:sz w:val="24"/>
          <w:szCs w:val="28"/>
        </w:rPr>
        <w:t>【本页无正文，为《</w:t>
      </w:r>
      <w:r w:rsidRPr="003A1532">
        <w:rPr>
          <w:rFonts w:ascii="Times New Roman" w:hAnsi="Times New Roman" w:hint="eastAsia"/>
          <w:sz w:val="24"/>
          <w:szCs w:val="28"/>
        </w:rPr>
        <w:t>国信证券股份有限公司关于埃夫特智能装备股份有限公司出售</w:t>
      </w:r>
      <w:r w:rsidRPr="003A1532">
        <w:rPr>
          <w:rFonts w:ascii="Times New Roman" w:hAnsi="Times New Roman" w:hint="eastAsia"/>
          <w:sz w:val="24"/>
          <w:szCs w:val="28"/>
        </w:rPr>
        <w:t>GME</w:t>
      </w:r>
      <w:r w:rsidRPr="003A1532">
        <w:rPr>
          <w:rFonts w:ascii="Times New Roman" w:hAnsi="Times New Roman" w:hint="eastAsia"/>
          <w:sz w:val="24"/>
          <w:szCs w:val="28"/>
        </w:rPr>
        <w:t>控制权后形成财务资助及预计新增财务资助暨关联交易的核查意见</w:t>
      </w:r>
      <w:r w:rsidRPr="003A1532">
        <w:rPr>
          <w:rFonts w:ascii="Times New Roman" w:hAnsi="Times New Roman"/>
          <w:sz w:val="24"/>
          <w:szCs w:val="28"/>
        </w:rPr>
        <w:t>》的</w:t>
      </w:r>
      <w:r w:rsidRPr="003A1532">
        <w:rPr>
          <w:rFonts w:ascii="Times New Roman" w:hAnsi="Times New Roman" w:hint="eastAsia"/>
          <w:sz w:val="24"/>
          <w:szCs w:val="28"/>
        </w:rPr>
        <w:t>签字</w:t>
      </w:r>
      <w:r w:rsidRPr="003A1532">
        <w:rPr>
          <w:rFonts w:ascii="Times New Roman" w:hAnsi="Times New Roman"/>
          <w:sz w:val="24"/>
          <w:szCs w:val="28"/>
        </w:rPr>
        <w:t>页】</w:t>
      </w:r>
    </w:p>
    <w:p w14:paraId="712F41C8" w14:textId="68394438" w:rsidR="00100695" w:rsidRPr="003A1532" w:rsidRDefault="00100695" w:rsidP="00100695">
      <w:pPr>
        <w:spacing w:beforeLines="50" w:before="156" w:line="360" w:lineRule="auto"/>
        <w:ind w:firstLineChars="200" w:firstLine="480"/>
        <w:rPr>
          <w:rFonts w:ascii="Times New Roman" w:hAnsi="Times New Roman"/>
          <w:sz w:val="24"/>
          <w:szCs w:val="28"/>
        </w:rPr>
      </w:pPr>
    </w:p>
    <w:p w14:paraId="3CFB8094" w14:textId="6DF4297C" w:rsidR="00100695" w:rsidRPr="003A1532" w:rsidRDefault="00100695" w:rsidP="00100695">
      <w:pPr>
        <w:spacing w:beforeLines="50" w:before="156" w:line="360" w:lineRule="auto"/>
        <w:ind w:firstLineChars="200" w:firstLine="480"/>
        <w:rPr>
          <w:rFonts w:ascii="Times New Roman" w:hAnsi="Times New Roman"/>
          <w:sz w:val="24"/>
          <w:szCs w:val="28"/>
        </w:rPr>
      </w:pPr>
    </w:p>
    <w:p w14:paraId="17808F66" w14:textId="5AA5A26E" w:rsidR="00100695" w:rsidRPr="003A1532" w:rsidRDefault="00100695" w:rsidP="00100695">
      <w:pPr>
        <w:widowControl/>
        <w:spacing w:beforeLines="50" w:before="156" w:line="360" w:lineRule="auto"/>
        <w:ind w:firstLineChars="200" w:firstLine="480"/>
        <w:jc w:val="left"/>
        <w:rPr>
          <w:rFonts w:ascii="Times New Roman" w:hAnsi="Times New Roman"/>
          <w:kern w:val="0"/>
          <w:sz w:val="24"/>
          <w:szCs w:val="24"/>
        </w:rPr>
      </w:pPr>
    </w:p>
    <w:p w14:paraId="3A0A0988" w14:textId="77777777" w:rsidR="00100695" w:rsidRPr="003A1532" w:rsidRDefault="00100695" w:rsidP="00100695">
      <w:pPr>
        <w:widowControl/>
        <w:spacing w:beforeLines="50" w:before="156" w:line="360" w:lineRule="auto"/>
        <w:ind w:firstLineChars="200" w:firstLine="480"/>
        <w:jc w:val="left"/>
        <w:rPr>
          <w:rFonts w:ascii="Times New Roman" w:hAnsi="Times New Roman"/>
          <w:kern w:val="0"/>
          <w:sz w:val="24"/>
          <w:szCs w:val="24"/>
        </w:rPr>
      </w:pPr>
    </w:p>
    <w:tbl>
      <w:tblPr>
        <w:tblW w:w="0" w:type="auto"/>
        <w:tblInd w:w="108" w:type="dxa"/>
        <w:tblLayout w:type="fixed"/>
        <w:tblLook w:val="04A0" w:firstRow="1" w:lastRow="0" w:firstColumn="1" w:lastColumn="0" w:noHBand="0" w:noVBand="1"/>
      </w:tblPr>
      <w:tblGrid>
        <w:gridCol w:w="2871"/>
        <w:gridCol w:w="240"/>
        <w:gridCol w:w="1910"/>
        <w:gridCol w:w="680"/>
        <w:gridCol w:w="1798"/>
      </w:tblGrid>
      <w:tr w:rsidR="003A1532" w:rsidRPr="003A1532" w14:paraId="10326DBE" w14:textId="77777777" w:rsidTr="0067303D">
        <w:tc>
          <w:tcPr>
            <w:tcW w:w="2871" w:type="dxa"/>
            <w:vAlign w:val="center"/>
          </w:tcPr>
          <w:p w14:paraId="2E1C7934" w14:textId="77777777" w:rsidR="00100695" w:rsidRPr="003A1532" w:rsidRDefault="00100695" w:rsidP="0067303D">
            <w:pPr>
              <w:spacing w:line="360" w:lineRule="auto"/>
              <w:jc w:val="center"/>
              <w:rPr>
                <w:rFonts w:ascii="Times New Roman" w:hAnsi="Times New Roman"/>
                <w:sz w:val="24"/>
                <w:szCs w:val="24"/>
              </w:rPr>
            </w:pPr>
            <w:r w:rsidRPr="003A1532">
              <w:rPr>
                <w:rFonts w:ascii="Times New Roman" w:hAnsi="Times New Roman" w:hint="eastAsia"/>
                <w:sz w:val="24"/>
                <w:szCs w:val="24"/>
              </w:rPr>
              <w:t>保荐代表</w:t>
            </w:r>
            <w:r w:rsidRPr="003A1532">
              <w:rPr>
                <w:rFonts w:ascii="Times New Roman" w:hAnsi="Times New Roman"/>
                <w:sz w:val="24"/>
                <w:szCs w:val="24"/>
              </w:rPr>
              <w:t>人：</w:t>
            </w:r>
          </w:p>
        </w:tc>
        <w:tc>
          <w:tcPr>
            <w:tcW w:w="240" w:type="dxa"/>
            <w:vAlign w:val="center"/>
          </w:tcPr>
          <w:p w14:paraId="15628EB8" w14:textId="77777777" w:rsidR="00100695" w:rsidRPr="003A1532" w:rsidRDefault="00100695" w:rsidP="0067303D">
            <w:pPr>
              <w:spacing w:line="360" w:lineRule="auto"/>
              <w:jc w:val="center"/>
              <w:rPr>
                <w:rFonts w:ascii="Times New Roman" w:hAnsi="Times New Roman"/>
                <w:sz w:val="24"/>
                <w:szCs w:val="24"/>
              </w:rPr>
            </w:pPr>
          </w:p>
        </w:tc>
        <w:tc>
          <w:tcPr>
            <w:tcW w:w="1910" w:type="dxa"/>
            <w:tcBorders>
              <w:bottom w:val="single" w:sz="4" w:space="0" w:color="auto"/>
            </w:tcBorders>
            <w:vAlign w:val="center"/>
          </w:tcPr>
          <w:p w14:paraId="0109DF9F" w14:textId="77777777" w:rsidR="00100695" w:rsidRPr="003A1532" w:rsidRDefault="00100695" w:rsidP="0067303D">
            <w:pPr>
              <w:spacing w:line="360" w:lineRule="auto"/>
              <w:jc w:val="center"/>
              <w:rPr>
                <w:rFonts w:ascii="Times New Roman" w:hAnsi="Times New Roman"/>
                <w:sz w:val="24"/>
                <w:szCs w:val="24"/>
              </w:rPr>
            </w:pPr>
          </w:p>
        </w:tc>
        <w:tc>
          <w:tcPr>
            <w:tcW w:w="680" w:type="dxa"/>
            <w:vAlign w:val="center"/>
          </w:tcPr>
          <w:p w14:paraId="72D481C5" w14:textId="77777777" w:rsidR="00100695" w:rsidRPr="003A1532" w:rsidRDefault="00100695" w:rsidP="0067303D">
            <w:pPr>
              <w:spacing w:line="360" w:lineRule="auto"/>
              <w:jc w:val="center"/>
              <w:rPr>
                <w:rFonts w:ascii="Times New Roman" w:hAnsi="Times New Roman"/>
                <w:sz w:val="24"/>
                <w:szCs w:val="24"/>
              </w:rPr>
            </w:pPr>
          </w:p>
        </w:tc>
        <w:tc>
          <w:tcPr>
            <w:tcW w:w="1798" w:type="dxa"/>
            <w:tcBorders>
              <w:bottom w:val="single" w:sz="4" w:space="0" w:color="auto"/>
            </w:tcBorders>
            <w:vAlign w:val="center"/>
          </w:tcPr>
          <w:p w14:paraId="5D834672" w14:textId="77777777" w:rsidR="00100695" w:rsidRPr="003A1532" w:rsidRDefault="00100695" w:rsidP="0067303D">
            <w:pPr>
              <w:spacing w:line="360" w:lineRule="auto"/>
              <w:jc w:val="center"/>
              <w:rPr>
                <w:rFonts w:ascii="Times New Roman" w:hAnsi="Times New Roman"/>
                <w:sz w:val="24"/>
                <w:szCs w:val="24"/>
              </w:rPr>
            </w:pPr>
          </w:p>
        </w:tc>
      </w:tr>
      <w:tr w:rsidR="003A1532" w:rsidRPr="003A1532" w14:paraId="346965C7" w14:textId="77777777" w:rsidTr="0067303D">
        <w:tc>
          <w:tcPr>
            <w:tcW w:w="2871" w:type="dxa"/>
            <w:vAlign w:val="center"/>
          </w:tcPr>
          <w:p w14:paraId="79A8BBD5" w14:textId="77777777" w:rsidR="00100695" w:rsidRPr="003A1532" w:rsidRDefault="00100695" w:rsidP="0067303D">
            <w:pPr>
              <w:spacing w:line="360" w:lineRule="auto"/>
              <w:jc w:val="center"/>
              <w:rPr>
                <w:rFonts w:ascii="Times New Roman" w:hAnsi="Times New Roman"/>
                <w:sz w:val="24"/>
                <w:szCs w:val="24"/>
              </w:rPr>
            </w:pPr>
          </w:p>
        </w:tc>
        <w:tc>
          <w:tcPr>
            <w:tcW w:w="240" w:type="dxa"/>
            <w:vAlign w:val="center"/>
          </w:tcPr>
          <w:p w14:paraId="593AC1DB" w14:textId="77777777" w:rsidR="00100695" w:rsidRPr="003A1532" w:rsidRDefault="00100695" w:rsidP="0067303D">
            <w:pPr>
              <w:spacing w:line="360" w:lineRule="auto"/>
              <w:jc w:val="center"/>
              <w:rPr>
                <w:rFonts w:ascii="Times New Roman" w:hAnsi="Times New Roman"/>
                <w:sz w:val="24"/>
                <w:szCs w:val="24"/>
              </w:rPr>
            </w:pPr>
          </w:p>
        </w:tc>
        <w:tc>
          <w:tcPr>
            <w:tcW w:w="1910" w:type="dxa"/>
            <w:tcBorders>
              <w:top w:val="single" w:sz="4" w:space="0" w:color="auto"/>
            </w:tcBorders>
            <w:vAlign w:val="center"/>
          </w:tcPr>
          <w:p w14:paraId="3E2BC28E" w14:textId="77777777" w:rsidR="00100695" w:rsidRPr="003A1532" w:rsidRDefault="00100695" w:rsidP="0067303D">
            <w:pPr>
              <w:spacing w:line="360" w:lineRule="auto"/>
              <w:jc w:val="center"/>
              <w:rPr>
                <w:rFonts w:ascii="Times New Roman" w:hAnsi="Times New Roman"/>
                <w:sz w:val="24"/>
                <w:szCs w:val="24"/>
              </w:rPr>
            </w:pPr>
            <w:proofErr w:type="gramStart"/>
            <w:r w:rsidRPr="003A1532">
              <w:rPr>
                <w:rFonts w:ascii="Times New Roman" w:hAnsi="Times New Roman" w:hint="eastAsia"/>
                <w:sz w:val="24"/>
                <w:szCs w:val="24"/>
              </w:rPr>
              <w:t>张存涛</w:t>
            </w:r>
            <w:proofErr w:type="gramEnd"/>
          </w:p>
        </w:tc>
        <w:tc>
          <w:tcPr>
            <w:tcW w:w="680" w:type="dxa"/>
            <w:vAlign w:val="center"/>
          </w:tcPr>
          <w:p w14:paraId="2FD38CD1" w14:textId="77777777" w:rsidR="00100695" w:rsidRPr="003A1532" w:rsidRDefault="00100695" w:rsidP="0067303D">
            <w:pPr>
              <w:spacing w:line="360" w:lineRule="auto"/>
              <w:jc w:val="center"/>
              <w:rPr>
                <w:rFonts w:ascii="Times New Roman" w:hAnsi="Times New Roman"/>
                <w:sz w:val="24"/>
                <w:szCs w:val="24"/>
              </w:rPr>
            </w:pPr>
          </w:p>
        </w:tc>
        <w:tc>
          <w:tcPr>
            <w:tcW w:w="1798" w:type="dxa"/>
            <w:tcBorders>
              <w:top w:val="single" w:sz="4" w:space="0" w:color="auto"/>
            </w:tcBorders>
            <w:vAlign w:val="center"/>
          </w:tcPr>
          <w:p w14:paraId="61CDEF7C" w14:textId="77777777" w:rsidR="00100695" w:rsidRPr="003A1532" w:rsidRDefault="00100695" w:rsidP="0067303D">
            <w:pPr>
              <w:spacing w:line="360" w:lineRule="auto"/>
              <w:jc w:val="center"/>
              <w:rPr>
                <w:rFonts w:ascii="Times New Roman" w:hAnsi="Times New Roman"/>
                <w:sz w:val="24"/>
                <w:szCs w:val="24"/>
              </w:rPr>
            </w:pPr>
            <w:proofErr w:type="gramStart"/>
            <w:r w:rsidRPr="003A1532">
              <w:rPr>
                <w:rFonts w:ascii="Times New Roman" w:hAnsi="Times New Roman" w:hint="eastAsia"/>
                <w:sz w:val="24"/>
                <w:szCs w:val="24"/>
              </w:rPr>
              <w:t>李明克</w:t>
            </w:r>
            <w:proofErr w:type="gramEnd"/>
          </w:p>
        </w:tc>
      </w:tr>
    </w:tbl>
    <w:p w14:paraId="4A725530" w14:textId="77777777" w:rsidR="00100695" w:rsidRPr="003A1532" w:rsidRDefault="00100695" w:rsidP="00100695">
      <w:pPr>
        <w:spacing w:afterLines="50" w:after="156" w:line="360" w:lineRule="auto"/>
        <w:rPr>
          <w:rFonts w:ascii="Times New Roman" w:hAnsi="Times New Roman"/>
          <w:sz w:val="24"/>
          <w:szCs w:val="24"/>
        </w:rPr>
      </w:pPr>
    </w:p>
    <w:p w14:paraId="1F3B00BC" w14:textId="77777777" w:rsidR="00100695" w:rsidRPr="003A1532" w:rsidRDefault="00100695" w:rsidP="00100695">
      <w:pPr>
        <w:spacing w:afterLines="50" w:after="156" w:line="360" w:lineRule="auto"/>
        <w:rPr>
          <w:rFonts w:ascii="Times New Roman" w:hAnsi="Times New Roman"/>
          <w:sz w:val="24"/>
          <w:szCs w:val="24"/>
        </w:rPr>
      </w:pPr>
    </w:p>
    <w:p w14:paraId="3597EE29" w14:textId="77777777" w:rsidR="00100695" w:rsidRPr="003A1532" w:rsidRDefault="00100695" w:rsidP="00100695">
      <w:pPr>
        <w:spacing w:afterLines="50" w:after="156" w:line="360" w:lineRule="auto"/>
        <w:rPr>
          <w:rFonts w:ascii="Times New Roman" w:hAnsi="Times New Roman"/>
          <w:sz w:val="24"/>
          <w:szCs w:val="24"/>
        </w:rPr>
      </w:pPr>
    </w:p>
    <w:p w14:paraId="209867C6" w14:textId="77777777" w:rsidR="00100695" w:rsidRPr="003A1532" w:rsidRDefault="00100695" w:rsidP="00100695">
      <w:pPr>
        <w:spacing w:afterLines="50" w:after="156" w:line="360" w:lineRule="auto"/>
        <w:rPr>
          <w:rFonts w:ascii="Times New Roman" w:hAnsi="Times New Roman"/>
          <w:sz w:val="24"/>
          <w:szCs w:val="24"/>
        </w:rPr>
      </w:pPr>
    </w:p>
    <w:p w14:paraId="11D1D858" w14:textId="77777777" w:rsidR="00100695" w:rsidRPr="003A1532" w:rsidRDefault="00100695" w:rsidP="00100695">
      <w:pPr>
        <w:spacing w:afterLines="50" w:after="156" w:line="360" w:lineRule="auto"/>
        <w:jc w:val="right"/>
        <w:rPr>
          <w:rFonts w:ascii="Times New Roman" w:hAnsi="Times New Roman"/>
          <w:sz w:val="24"/>
          <w:szCs w:val="24"/>
        </w:rPr>
      </w:pPr>
      <w:r w:rsidRPr="003A1532">
        <w:rPr>
          <w:rFonts w:ascii="Times New Roman" w:hAnsi="Times New Roman"/>
          <w:sz w:val="24"/>
          <w:szCs w:val="24"/>
        </w:rPr>
        <w:t>国信证券股份有限公司</w:t>
      </w:r>
    </w:p>
    <w:p w14:paraId="3A657166" w14:textId="77777777" w:rsidR="00100695" w:rsidRPr="003A1532" w:rsidRDefault="00100695" w:rsidP="00100695">
      <w:pPr>
        <w:spacing w:afterLines="50" w:after="156" w:line="360" w:lineRule="auto"/>
        <w:jc w:val="right"/>
        <w:rPr>
          <w:rFonts w:ascii="Times New Roman" w:hAnsi="Times New Roman"/>
          <w:szCs w:val="24"/>
        </w:rPr>
      </w:pPr>
      <w:r w:rsidRPr="003A1532">
        <w:rPr>
          <w:rFonts w:ascii="Times New Roman" w:hAnsi="Times New Roman"/>
          <w:sz w:val="24"/>
          <w:szCs w:val="24"/>
        </w:rPr>
        <w:t>年</w:t>
      </w:r>
      <w:r w:rsidRPr="003A1532">
        <w:rPr>
          <w:rFonts w:ascii="Times New Roman" w:hAnsi="Times New Roman" w:hint="eastAsia"/>
          <w:sz w:val="24"/>
          <w:szCs w:val="24"/>
        </w:rPr>
        <w:tab/>
      </w:r>
      <w:r w:rsidRPr="003A1532">
        <w:rPr>
          <w:rFonts w:ascii="Times New Roman" w:hAnsi="Times New Roman"/>
          <w:sz w:val="24"/>
          <w:szCs w:val="24"/>
        </w:rPr>
        <w:t>月</w:t>
      </w:r>
      <w:r w:rsidRPr="003A1532">
        <w:rPr>
          <w:rFonts w:ascii="Times New Roman" w:hAnsi="Times New Roman" w:hint="eastAsia"/>
          <w:sz w:val="24"/>
          <w:szCs w:val="24"/>
        </w:rPr>
        <w:tab/>
      </w:r>
      <w:r w:rsidRPr="003A1532">
        <w:rPr>
          <w:rFonts w:ascii="Times New Roman" w:hAnsi="Times New Roman"/>
          <w:sz w:val="24"/>
          <w:szCs w:val="24"/>
        </w:rPr>
        <w:t>日</w:t>
      </w:r>
    </w:p>
    <w:p w14:paraId="60BC3031" w14:textId="77777777" w:rsidR="00100695" w:rsidRPr="003A1532" w:rsidRDefault="00100695" w:rsidP="00100695"/>
    <w:p w14:paraId="2E91B559" w14:textId="77777777" w:rsidR="00100695" w:rsidRPr="003A1532" w:rsidRDefault="00100695" w:rsidP="00100695"/>
    <w:p w14:paraId="26E6E03D" w14:textId="77777777" w:rsidR="00100695" w:rsidRPr="003A1532" w:rsidRDefault="00100695" w:rsidP="00100695"/>
    <w:p w14:paraId="7EBD7093" w14:textId="77777777" w:rsidR="00911DF5" w:rsidRPr="003A1532" w:rsidRDefault="00911DF5"/>
    <w:sectPr w:rsidR="00911DF5" w:rsidRPr="003A1532">
      <w:footerReference w:type="default" r:id="rId7"/>
      <w:pgSz w:w="11906" w:h="16838"/>
      <w:pgMar w:top="1440" w:right="1416" w:bottom="1440"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5374" w14:textId="77777777" w:rsidR="00E46531" w:rsidRDefault="00E46531" w:rsidP="00100695">
      <w:r>
        <w:separator/>
      </w:r>
    </w:p>
  </w:endnote>
  <w:endnote w:type="continuationSeparator" w:id="0">
    <w:p w14:paraId="61010085" w14:textId="77777777" w:rsidR="00E46531" w:rsidRDefault="00E46531" w:rsidP="0010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83A2" w14:textId="77777777" w:rsidR="00D34878" w:rsidRDefault="009539DD">
    <w:pPr>
      <w:pStyle w:val="a5"/>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Pr>
        <w:rFonts w:ascii="Times New Roman" w:hAnsi="Times New Roman"/>
        <w:sz w:val="21"/>
        <w:lang w:val="zh-CN"/>
      </w:rPr>
      <w:t>4</w:t>
    </w:r>
    <w:r>
      <w:rPr>
        <w:rFonts w:ascii="Times New Roman" w:hAnsi="Times New Roman"/>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DC60" w14:textId="77777777" w:rsidR="00E46531" w:rsidRDefault="00E46531" w:rsidP="00100695">
      <w:r>
        <w:separator/>
      </w:r>
    </w:p>
  </w:footnote>
  <w:footnote w:type="continuationSeparator" w:id="0">
    <w:p w14:paraId="7CA2E215" w14:textId="77777777" w:rsidR="00E46531" w:rsidRDefault="00E46531" w:rsidP="00100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62"/>
    <w:rsid w:val="0000771E"/>
    <w:rsid w:val="00034A24"/>
    <w:rsid w:val="0007585F"/>
    <w:rsid w:val="00100695"/>
    <w:rsid w:val="00276A5C"/>
    <w:rsid w:val="0033353F"/>
    <w:rsid w:val="00350706"/>
    <w:rsid w:val="003946C9"/>
    <w:rsid w:val="003A1532"/>
    <w:rsid w:val="003A1F68"/>
    <w:rsid w:val="003D4798"/>
    <w:rsid w:val="004E43C4"/>
    <w:rsid w:val="0054065A"/>
    <w:rsid w:val="00560C31"/>
    <w:rsid w:val="0065339E"/>
    <w:rsid w:val="0069761D"/>
    <w:rsid w:val="006E3966"/>
    <w:rsid w:val="008177C8"/>
    <w:rsid w:val="0084023C"/>
    <w:rsid w:val="0088790A"/>
    <w:rsid w:val="00911DF5"/>
    <w:rsid w:val="00941A62"/>
    <w:rsid w:val="009539DD"/>
    <w:rsid w:val="009E6A2D"/>
    <w:rsid w:val="00B109A0"/>
    <w:rsid w:val="00B31B46"/>
    <w:rsid w:val="00B5788E"/>
    <w:rsid w:val="00C705E9"/>
    <w:rsid w:val="00D34878"/>
    <w:rsid w:val="00DE6CD3"/>
    <w:rsid w:val="00E46531"/>
    <w:rsid w:val="00F071A1"/>
    <w:rsid w:val="00F43CCC"/>
    <w:rsid w:val="00F455F4"/>
    <w:rsid w:val="00FE3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0F911"/>
  <w15:chartTrackingRefBased/>
  <w15:docId w15:val="{3EC58636-AA4B-461C-8440-5732C3A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69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695"/>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00695"/>
    <w:rPr>
      <w:sz w:val="18"/>
      <w:szCs w:val="18"/>
    </w:rPr>
  </w:style>
  <w:style w:type="paragraph" w:styleId="a5">
    <w:name w:val="footer"/>
    <w:basedOn w:val="a"/>
    <w:link w:val="a6"/>
    <w:uiPriority w:val="99"/>
    <w:unhideWhenUsed/>
    <w:qFormat/>
    <w:rsid w:val="001006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00695"/>
    <w:rPr>
      <w:sz w:val="18"/>
      <w:szCs w:val="18"/>
    </w:rPr>
  </w:style>
  <w:style w:type="paragraph" w:styleId="a7">
    <w:name w:val="Revision"/>
    <w:hidden/>
    <w:uiPriority w:val="99"/>
    <w:semiHidden/>
    <w:rsid w:val="00560C3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赵吃喝</dc:creator>
  <cp:keywords/>
  <dc:description/>
  <cp:lastModifiedBy>赵吃喝</cp:lastModifiedBy>
  <cp:revision>2</cp:revision>
  <cp:lastPrinted>2023-11-28T08:34:00Z</cp:lastPrinted>
  <dcterms:created xsi:type="dcterms:W3CDTF">2023-11-28T08:37:00Z</dcterms:created>
  <dcterms:modified xsi:type="dcterms:W3CDTF">2023-11-28T08:37:00Z</dcterms:modified>
</cp:coreProperties>
</file>