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96" w:rsidRDefault="00987BF5">
      <w:pPr>
        <w:autoSpaceDE w:val="0"/>
        <w:autoSpaceDN w:val="0"/>
        <w:adjustRightInd w:val="0"/>
        <w:spacing w:line="360" w:lineRule="auto"/>
        <w:rPr>
          <w:color w:val="000000" w:themeColor="text1"/>
          <w:sz w:val="24"/>
          <w:szCs w:val="24"/>
          <w:highlight w:val="yellow"/>
          <w:lang w:eastAsia="zh-CN"/>
        </w:rPr>
      </w:pPr>
      <w:r>
        <w:rPr>
          <w:rFonts w:hint="eastAsia"/>
          <w:color w:val="000000" w:themeColor="text1"/>
          <w:sz w:val="24"/>
          <w:szCs w:val="24"/>
          <w:lang w:eastAsia="zh-CN"/>
        </w:rPr>
        <w:t>证券代码：</w:t>
      </w:r>
      <w:r>
        <w:rPr>
          <w:rFonts w:ascii="Times New Roman" w:hAnsi="Times New Roman" w:cs="Times New Roman"/>
          <w:color w:val="000000" w:themeColor="text1"/>
          <w:sz w:val="24"/>
          <w:szCs w:val="24"/>
          <w:lang w:eastAsia="zh-CN"/>
        </w:rPr>
        <w:t xml:space="preserve">688165          </w:t>
      </w:r>
      <w:r>
        <w:rPr>
          <w:rFonts w:ascii="Times New Roman" w:hAnsi="Times New Roman" w:cs="Times New Roman" w:hint="eastAsia"/>
          <w:color w:val="000000" w:themeColor="text1"/>
          <w:sz w:val="24"/>
          <w:szCs w:val="24"/>
          <w:lang w:eastAsia="zh-CN"/>
        </w:rPr>
        <w:t>证券简称：</w:t>
      </w:r>
      <w:proofErr w:type="gramStart"/>
      <w:r>
        <w:rPr>
          <w:rFonts w:ascii="Times New Roman" w:hAnsi="Times New Roman" w:cs="Times New Roman" w:hint="eastAsia"/>
          <w:color w:val="000000" w:themeColor="text1"/>
          <w:sz w:val="24"/>
          <w:szCs w:val="24"/>
          <w:lang w:eastAsia="zh-CN"/>
        </w:rPr>
        <w:t>埃夫特</w:t>
      </w:r>
      <w:proofErr w:type="gramEnd"/>
      <w:r>
        <w:rPr>
          <w:rFonts w:ascii="Times New Roman" w:hAnsi="Times New Roman" w:cs="Times New Roman"/>
          <w:color w:val="000000" w:themeColor="text1"/>
          <w:sz w:val="24"/>
          <w:szCs w:val="24"/>
          <w:lang w:eastAsia="zh-CN"/>
        </w:rPr>
        <w:t xml:space="preserve">       </w:t>
      </w:r>
      <w:r>
        <w:rPr>
          <w:rFonts w:ascii="Times New Roman" w:hAnsi="Times New Roman" w:cs="Times New Roman" w:hint="eastAsia"/>
          <w:color w:val="000000" w:themeColor="text1"/>
          <w:sz w:val="24"/>
          <w:szCs w:val="24"/>
          <w:lang w:eastAsia="zh-CN"/>
        </w:rPr>
        <w:t>公告编号：</w:t>
      </w:r>
      <w:r>
        <w:rPr>
          <w:rFonts w:ascii="Times New Roman" w:hAnsi="Times New Roman" w:cs="Times New Roman"/>
          <w:color w:val="000000" w:themeColor="text1"/>
          <w:sz w:val="24"/>
          <w:szCs w:val="24"/>
          <w:lang w:eastAsia="zh-CN"/>
        </w:rPr>
        <w:t>2023-</w:t>
      </w:r>
      <w:r w:rsidRPr="00DE6C09">
        <w:rPr>
          <w:rFonts w:ascii="Times New Roman" w:hAnsi="Times New Roman" w:cs="Times New Roman"/>
          <w:color w:val="000000" w:themeColor="text1"/>
          <w:sz w:val="24"/>
          <w:szCs w:val="24"/>
          <w:lang w:eastAsia="zh-CN"/>
        </w:rPr>
        <w:t>0</w:t>
      </w:r>
      <w:r w:rsidR="00DE6C09" w:rsidRPr="00DE6C09">
        <w:rPr>
          <w:rFonts w:ascii="Times New Roman" w:hAnsi="Times New Roman" w:cs="Times New Roman"/>
          <w:color w:val="000000" w:themeColor="text1"/>
          <w:sz w:val="24"/>
          <w:szCs w:val="24"/>
          <w:lang w:eastAsia="zh-CN"/>
        </w:rPr>
        <w:t>57</w:t>
      </w:r>
    </w:p>
    <w:p w:rsidR="00987BF5" w:rsidRDefault="00987BF5">
      <w:pPr>
        <w:pStyle w:val="TableParagraph"/>
        <w:spacing w:before="0"/>
        <w:rPr>
          <w:rFonts w:ascii="黑体" w:eastAsia="黑体" w:hAnsi="黑体"/>
          <w:b/>
          <w:bCs/>
          <w:color w:val="FF0000"/>
          <w:sz w:val="36"/>
          <w:szCs w:val="36"/>
          <w:lang w:eastAsia="zh-CN"/>
        </w:rPr>
      </w:pPr>
    </w:p>
    <w:p w:rsidR="00306996" w:rsidRDefault="00987BF5">
      <w:pPr>
        <w:pStyle w:val="TableParagraph"/>
        <w:spacing w:before="0"/>
        <w:rPr>
          <w:rFonts w:ascii="黑体" w:eastAsia="黑体" w:hAnsi="黑体"/>
          <w:b/>
          <w:bCs/>
          <w:color w:val="FF0000"/>
          <w:sz w:val="36"/>
          <w:szCs w:val="36"/>
          <w:lang w:eastAsia="zh-CN"/>
        </w:rPr>
      </w:pPr>
      <w:r>
        <w:rPr>
          <w:rFonts w:ascii="黑体" w:eastAsia="黑体" w:hAnsi="黑体"/>
          <w:b/>
          <w:bCs/>
          <w:noProof/>
          <w:color w:val="FF0000"/>
          <w:sz w:val="36"/>
          <w:szCs w:val="36"/>
          <w:lang w:eastAsia="zh-CN"/>
        </w:rPr>
        <w:drawing>
          <wp:anchor distT="0" distB="0" distL="0" distR="0" simplePos="0" relativeHeight="251659264" behindDoc="1" locked="0" layoutInCell="1" allowOverlap="1">
            <wp:simplePos x="0" y="0"/>
            <wp:positionH relativeFrom="page">
              <wp:posOffset>0</wp:posOffset>
            </wp:positionH>
            <wp:positionV relativeFrom="page">
              <wp:posOffset>10158730</wp:posOffset>
            </wp:positionV>
            <wp:extent cx="7560310" cy="5334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a:stretch>
                      <a:fillRect/>
                    </a:stretch>
                  </pic:blipFill>
                  <pic:spPr>
                    <a:xfrm>
                      <a:off x="0" y="0"/>
                      <a:ext cx="7560310" cy="533400"/>
                    </a:xfrm>
                    <a:prstGeom prst="rect">
                      <a:avLst/>
                    </a:prstGeom>
                    <a:noFill/>
                    <a:ln w="9525">
                      <a:noFill/>
                    </a:ln>
                  </pic:spPr>
                </pic:pic>
              </a:graphicData>
            </a:graphic>
          </wp:anchor>
        </w:drawing>
      </w:r>
      <w:r>
        <w:rPr>
          <w:rFonts w:ascii="黑体" w:eastAsia="黑体" w:hAnsi="黑体" w:hint="eastAsia"/>
          <w:b/>
          <w:bCs/>
          <w:color w:val="FF0000"/>
          <w:sz w:val="36"/>
          <w:szCs w:val="36"/>
          <w:lang w:eastAsia="zh-CN"/>
        </w:rPr>
        <w:t>埃夫</w:t>
      </w:r>
      <w:proofErr w:type="gramStart"/>
      <w:r>
        <w:rPr>
          <w:rFonts w:ascii="黑体" w:eastAsia="黑体" w:hAnsi="黑体" w:hint="eastAsia"/>
          <w:b/>
          <w:bCs/>
          <w:color w:val="FF0000"/>
          <w:sz w:val="36"/>
          <w:szCs w:val="36"/>
          <w:lang w:eastAsia="zh-CN"/>
        </w:rPr>
        <w:t>特</w:t>
      </w:r>
      <w:proofErr w:type="gramEnd"/>
      <w:r>
        <w:rPr>
          <w:rFonts w:ascii="黑体" w:eastAsia="黑体" w:hAnsi="黑体" w:hint="eastAsia"/>
          <w:b/>
          <w:bCs/>
          <w:color w:val="FF0000"/>
          <w:sz w:val="36"/>
          <w:szCs w:val="36"/>
          <w:lang w:eastAsia="zh-CN"/>
        </w:rPr>
        <w:t>智能装备股份有限公司</w:t>
      </w:r>
    </w:p>
    <w:p w:rsidR="00306996" w:rsidRDefault="00987BF5">
      <w:pPr>
        <w:pStyle w:val="TableParagraph"/>
        <w:spacing w:before="0"/>
        <w:rPr>
          <w:rFonts w:ascii="黑体" w:eastAsia="黑体" w:hAnsi="黑体"/>
          <w:b/>
          <w:bCs/>
          <w:color w:val="FF0000"/>
          <w:sz w:val="36"/>
          <w:szCs w:val="36"/>
          <w:lang w:eastAsia="zh-CN"/>
        </w:rPr>
      </w:pPr>
      <w:r>
        <w:rPr>
          <w:rFonts w:ascii="黑体" w:eastAsia="黑体" w:hAnsi="黑体" w:hint="eastAsia"/>
          <w:b/>
          <w:bCs/>
          <w:color w:val="FF0000"/>
          <w:sz w:val="36"/>
          <w:szCs w:val="36"/>
          <w:lang w:eastAsia="zh-CN"/>
        </w:rPr>
        <w:t>关于第三届董事会部分专门委员会召集人及委员调整的公告</w:t>
      </w:r>
    </w:p>
    <w:p w:rsidR="00306996" w:rsidRDefault="00306996">
      <w:pPr>
        <w:rPr>
          <w:lang w:eastAsia="zh-CN"/>
        </w:rPr>
      </w:pPr>
    </w:p>
    <w:tbl>
      <w:tblPr>
        <w:tblStyle w:val="af0"/>
        <w:tblW w:w="8652" w:type="dxa"/>
        <w:tblLook w:val="04A0" w:firstRow="1" w:lastRow="0" w:firstColumn="1" w:lastColumn="0" w:noHBand="0" w:noVBand="1"/>
      </w:tblPr>
      <w:tblGrid>
        <w:gridCol w:w="8652"/>
      </w:tblGrid>
      <w:tr w:rsidR="00306996">
        <w:trPr>
          <w:trHeight w:val="983"/>
        </w:trPr>
        <w:tc>
          <w:tcPr>
            <w:tcW w:w="8652" w:type="dxa"/>
          </w:tcPr>
          <w:p w:rsidR="00306996" w:rsidRDefault="00987BF5">
            <w:pPr>
              <w:widowControl/>
              <w:pBdr>
                <w:top w:val="none" w:sz="0" w:space="1" w:color="auto"/>
                <w:left w:val="none" w:sz="0" w:space="4" w:color="auto"/>
                <w:bottom w:val="none" w:sz="0" w:space="1" w:color="auto"/>
                <w:right w:val="none" w:sz="0" w:space="11" w:color="auto"/>
              </w:pBdr>
              <w:spacing w:line="360" w:lineRule="auto"/>
              <w:ind w:firstLineChars="200" w:firstLine="480"/>
              <w:rPr>
                <w:color w:val="000000"/>
                <w:sz w:val="24"/>
                <w:szCs w:val="24"/>
                <w:lang w:eastAsia="zh-CN"/>
              </w:rPr>
            </w:pPr>
            <w:r>
              <w:rPr>
                <w:rFonts w:hint="eastAsia"/>
                <w:color w:val="000000"/>
                <w:sz w:val="24"/>
                <w:szCs w:val="24"/>
                <w:lang w:eastAsia="zh-CN"/>
              </w:rPr>
              <w:t>本公司董事会及全体董事保证本公告内容不存在任何虚假记载、误导性陈述或者重大遗漏，并对其内容的真实性、准确性和完整性依法承担法律责任。</w:t>
            </w:r>
          </w:p>
        </w:tc>
      </w:tr>
    </w:tbl>
    <w:p w:rsidR="00306996" w:rsidRDefault="00306996">
      <w:pPr>
        <w:rPr>
          <w:lang w:eastAsia="zh-CN"/>
        </w:rPr>
      </w:pPr>
    </w:p>
    <w:p w:rsidR="00306996" w:rsidRDefault="00987BF5">
      <w:pPr>
        <w:widowControl/>
        <w:shd w:val="clear" w:color="auto" w:fill="FFFFFF"/>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埃夫</w:t>
      </w:r>
      <w:proofErr w:type="gramStart"/>
      <w:r>
        <w:rPr>
          <w:rFonts w:hint="eastAsia"/>
          <w:color w:val="000000" w:themeColor="text1"/>
          <w:sz w:val="24"/>
          <w:szCs w:val="24"/>
          <w:lang w:eastAsia="zh-CN"/>
        </w:rPr>
        <w:t>特</w:t>
      </w:r>
      <w:proofErr w:type="gramEnd"/>
      <w:r>
        <w:rPr>
          <w:rFonts w:hint="eastAsia"/>
          <w:color w:val="000000" w:themeColor="text1"/>
          <w:sz w:val="24"/>
          <w:szCs w:val="24"/>
          <w:lang w:eastAsia="zh-CN"/>
        </w:rPr>
        <w:t>智能装备股份有限公司（以下简称“公司”）于</w:t>
      </w:r>
      <w:r>
        <w:rPr>
          <w:rFonts w:ascii="Times New Roman" w:hAnsi="Times New Roman" w:hint="eastAsia"/>
          <w:color w:val="000000" w:themeColor="text1"/>
          <w:sz w:val="24"/>
          <w:szCs w:val="24"/>
          <w:lang w:eastAsia="zh-CN"/>
        </w:rPr>
        <w:t>2</w:t>
      </w:r>
      <w:r>
        <w:rPr>
          <w:rFonts w:ascii="Times New Roman" w:hAnsi="Times New Roman"/>
          <w:color w:val="000000" w:themeColor="text1"/>
          <w:sz w:val="24"/>
          <w:szCs w:val="24"/>
          <w:lang w:eastAsia="zh-CN"/>
        </w:rPr>
        <w:t>023</w:t>
      </w:r>
      <w:r>
        <w:rPr>
          <w:rFonts w:hint="eastAsia"/>
          <w:color w:val="000000" w:themeColor="text1"/>
          <w:sz w:val="24"/>
          <w:szCs w:val="24"/>
          <w:lang w:eastAsia="zh-CN"/>
        </w:rPr>
        <w:t>年</w:t>
      </w:r>
      <w:r>
        <w:rPr>
          <w:rFonts w:ascii="Times New Roman" w:hAnsi="Times New Roman"/>
          <w:color w:val="000000" w:themeColor="text1"/>
          <w:sz w:val="24"/>
          <w:szCs w:val="24"/>
          <w:lang w:eastAsia="zh-CN"/>
        </w:rPr>
        <w:t>9</w:t>
      </w:r>
      <w:r>
        <w:rPr>
          <w:rFonts w:hint="eastAsia"/>
          <w:color w:val="000000" w:themeColor="text1"/>
          <w:sz w:val="24"/>
          <w:szCs w:val="24"/>
          <w:lang w:eastAsia="zh-CN"/>
        </w:rPr>
        <w:t>月</w:t>
      </w:r>
      <w:r>
        <w:rPr>
          <w:rFonts w:ascii="Times New Roman" w:hAnsi="Times New Roman"/>
          <w:color w:val="000000" w:themeColor="text1"/>
          <w:sz w:val="24"/>
          <w:szCs w:val="24"/>
          <w:lang w:eastAsia="zh-CN"/>
        </w:rPr>
        <w:t>18</w:t>
      </w:r>
      <w:r>
        <w:rPr>
          <w:rFonts w:hint="eastAsia"/>
          <w:color w:val="000000" w:themeColor="text1"/>
          <w:sz w:val="24"/>
          <w:szCs w:val="24"/>
          <w:lang w:eastAsia="zh-CN"/>
        </w:rPr>
        <w:t>日召开了第三届董事会第十三次会议，会议审议通过了《关于公司第三届董事会部分专门委员会召集人及委员调整的议案》，现将具体情况公告如下：</w:t>
      </w:r>
    </w:p>
    <w:p w:rsidR="00306996" w:rsidRDefault="00987BF5">
      <w:pPr>
        <w:widowControl/>
        <w:shd w:val="clear" w:color="auto" w:fill="FFFFFF"/>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鉴于公司部分董事会成员发生变化，为进一步完善公司治理结构，根据《上市公司独立董事管理办法》《上海证券交易所科创板股票上市规则》和《埃夫特智能装备股份有限公司章程》等相关规定，现对公司第三届董事会审计委员会、提名、薪酬与考核委员会、战略委员会人员进行相应调整，具体如下：</w:t>
      </w:r>
    </w:p>
    <w:tbl>
      <w:tblPr>
        <w:tblStyle w:val="af0"/>
        <w:tblW w:w="0" w:type="auto"/>
        <w:tblLook w:val="04A0" w:firstRow="1" w:lastRow="0" w:firstColumn="1" w:lastColumn="0" w:noHBand="0" w:noVBand="1"/>
      </w:tblPr>
      <w:tblGrid>
        <w:gridCol w:w="1980"/>
        <w:gridCol w:w="3118"/>
        <w:gridCol w:w="3198"/>
      </w:tblGrid>
      <w:tr w:rsidR="00306996">
        <w:tc>
          <w:tcPr>
            <w:tcW w:w="1980" w:type="dxa"/>
            <w:vAlign w:val="center"/>
          </w:tcPr>
          <w:p w:rsidR="00306996" w:rsidRDefault="00987BF5">
            <w:pPr>
              <w:spacing w:line="276" w:lineRule="auto"/>
              <w:jc w:val="center"/>
              <w:rPr>
                <w:rFonts w:ascii="Times New Roman" w:hAnsi="Times New Roman" w:cs="Times New Roman"/>
                <w:b/>
                <w:bCs/>
                <w:sz w:val="24"/>
                <w:lang w:eastAsia="zh-CN"/>
              </w:rPr>
            </w:pPr>
            <w:r>
              <w:rPr>
                <w:rFonts w:ascii="Times New Roman" w:hAnsi="Times New Roman" w:cs="Times New Roman" w:hint="eastAsia"/>
                <w:b/>
                <w:bCs/>
                <w:sz w:val="24"/>
                <w:lang w:eastAsia="zh-CN"/>
              </w:rPr>
              <w:t>专委会类别</w:t>
            </w:r>
          </w:p>
        </w:tc>
        <w:tc>
          <w:tcPr>
            <w:tcW w:w="3118" w:type="dxa"/>
            <w:vAlign w:val="center"/>
          </w:tcPr>
          <w:p w:rsidR="00306996" w:rsidRDefault="00987BF5">
            <w:pPr>
              <w:spacing w:line="276" w:lineRule="auto"/>
              <w:jc w:val="center"/>
              <w:rPr>
                <w:rFonts w:ascii="Times New Roman" w:hAnsi="Times New Roman" w:cs="Times New Roman"/>
                <w:b/>
                <w:bCs/>
                <w:sz w:val="24"/>
                <w:lang w:eastAsia="zh-CN"/>
              </w:rPr>
            </w:pPr>
            <w:r>
              <w:rPr>
                <w:rFonts w:ascii="Times New Roman" w:hAnsi="Times New Roman" w:cs="Times New Roman" w:hint="eastAsia"/>
                <w:b/>
                <w:bCs/>
                <w:sz w:val="24"/>
                <w:lang w:eastAsia="zh-CN"/>
              </w:rPr>
              <w:t>委员名单（调整前）</w:t>
            </w:r>
          </w:p>
        </w:tc>
        <w:tc>
          <w:tcPr>
            <w:tcW w:w="3198" w:type="dxa"/>
            <w:vAlign w:val="center"/>
          </w:tcPr>
          <w:p w:rsidR="00306996" w:rsidRDefault="00987BF5">
            <w:pPr>
              <w:spacing w:line="276" w:lineRule="auto"/>
              <w:jc w:val="center"/>
              <w:rPr>
                <w:rFonts w:ascii="Times New Roman" w:hAnsi="Times New Roman" w:cs="Times New Roman"/>
                <w:b/>
                <w:bCs/>
                <w:sz w:val="24"/>
                <w:lang w:eastAsia="zh-CN"/>
              </w:rPr>
            </w:pPr>
            <w:r>
              <w:rPr>
                <w:rFonts w:ascii="Times New Roman" w:hAnsi="Times New Roman" w:cs="Times New Roman" w:hint="eastAsia"/>
                <w:b/>
                <w:bCs/>
                <w:sz w:val="24"/>
                <w:lang w:eastAsia="zh-CN"/>
              </w:rPr>
              <w:t>委员名单（调整后）</w:t>
            </w:r>
          </w:p>
        </w:tc>
      </w:tr>
      <w:tr w:rsidR="00306996">
        <w:tc>
          <w:tcPr>
            <w:tcW w:w="1980"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审计委员会</w:t>
            </w:r>
          </w:p>
        </w:tc>
        <w:tc>
          <w:tcPr>
            <w:tcW w:w="3118"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b/>
                <w:sz w:val="24"/>
                <w:lang w:eastAsia="zh-CN"/>
              </w:rPr>
              <w:t>梁晓燕（召集人）</w:t>
            </w:r>
            <w:r>
              <w:rPr>
                <w:rFonts w:ascii="Times New Roman" w:hAnsi="Times New Roman" w:cs="Times New Roman" w:hint="eastAsia"/>
                <w:sz w:val="24"/>
                <w:lang w:eastAsia="zh-CN"/>
              </w:rPr>
              <w:t>、王津华、</w:t>
            </w:r>
            <w:r>
              <w:rPr>
                <w:rFonts w:ascii="Times New Roman" w:hAnsi="Times New Roman" w:cs="Times New Roman" w:hint="eastAsia"/>
                <w:b/>
                <w:sz w:val="24"/>
                <w:lang w:eastAsia="zh-CN"/>
              </w:rPr>
              <w:t>刘利剑</w:t>
            </w:r>
          </w:p>
        </w:tc>
        <w:tc>
          <w:tcPr>
            <w:tcW w:w="3198"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b/>
                <w:sz w:val="24"/>
                <w:lang w:eastAsia="zh-CN"/>
              </w:rPr>
              <w:t>杜颖洁（召集人）</w:t>
            </w:r>
            <w:r>
              <w:rPr>
                <w:rFonts w:ascii="Times New Roman" w:hAnsi="Times New Roman" w:cs="Times New Roman" w:hint="eastAsia"/>
                <w:sz w:val="24"/>
                <w:lang w:eastAsia="zh-CN"/>
              </w:rPr>
              <w:t>、王津华、</w:t>
            </w:r>
            <w:r>
              <w:rPr>
                <w:rFonts w:ascii="Times New Roman" w:hAnsi="Times New Roman" w:cs="Times New Roman" w:hint="eastAsia"/>
                <w:b/>
                <w:sz w:val="24"/>
                <w:lang w:eastAsia="zh-CN"/>
              </w:rPr>
              <w:t>马占春</w:t>
            </w:r>
          </w:p>
        </w:tc>
      </w:tr>
      <w:tr w:rsidR="00306996">
        <w:tc>
          <w:tcPr>
            <w:tcW w:w="1980"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提名、薪酬与考核委员会</w:t>
            </w:r>
          </w:p>
        </w:tc>
        <w:tc>
          <w:tcPr>
            <w:tcW w:w="3118"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冯辕（召集人）、</w:t>
            </w:r>
            <w:r>
              <w:rPr>
                <w:rFonts w:ascii="Times New Roman" w:hAnsi="Times New Roman" w:cs="Times New Roman" w:hint="eastAsia"/>
                <w:b/>
                <w:sz w:val="24"/>
                <w:lang w:eastAsia="zh-CN"/>
              </w:rPr>
              <w:t>刘利剑</w:t>
            </w:r>
            <w:r>
              <w:rPr>
                <w:rFonts w:ascii="Times New Roman" w:hAnsi="Times New Roman" w:cs="Times New Roman" w:hint="eastAsia"/>
                <w:sz w:val="24"/>
                <w:lang w:eastAsia="zh-CN"/>
              </w:rPr>
              <w:t>、徐伟</w:t>
            </w:r>
          </w:p>
        </w:tc>
        <w:tc>
          <w:tcPr>
            <w:tcW w:w="3198"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冯辕（召集人）、</w:t>
            </w:r>
            <w:r>
              <w:rPr>
                <w:rFonts w:ascii="Times New Roman" w:hAnsi="Times New Roman" w:cs="Times New Roman" w:hint="eastAsia"/>
                <w:b/>
                <w:sz w:val="24"/>
                <w:lang w:eastAsia="zh-CN"/>
              </w:rPr>
              <w:t>马占春</w:t>
            </w:r>
            <w:r>
              <w:rPr>
                <w:rFonts w:ascii="Times New Roman" w:hAnsi="Times New Roman" w:cs="Times New Roman" w:hint="eastAsia"/>
                <w:sz w:val="24"/>
                <w:lang w:eastAsia="zh-CN"/>
              </w:rPr>
              <w:t>、徐伟</w:t>
            </w:r>
          </w:p>
        </w:tc>
      </w:tr>
      <w:tr w:rsidR="00306996">
        <w:tc>
          <w:tcPr>
            <w:tcW w:w="1980"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战略委员会</w:t>
            </w:r>
          </w:p>
        </w:tc>
        <w:tc>
          <w:tcPr>
            <w:tcW w:w="3118"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游玮（召集人）、许礼进、</w:t>
            </w:r>
            <w:r>
              <w:rPr>
                <w:rFonts w:ascii="Times New Roman" w:hAnsi="Times New Roman" w:cs="Times New Roman" w:hint="eastAsia"/>
                <w:b/>
                <w:sz w:val="24"/>
                <w:lang w:eastAsia="zh-CN"/>
              </w:rPr>
              <w:t>赵杰</w:t>
            </w:r>
          </w:p>
        </w:tc>
        <w:tc>
          <w:tcPr>
            <w:tcW w:w="3198" w:type="dxa"/>
            <w:vAlign w:val="center"/>
          </w:tcPr>
          <w:p w:rsidR="00306996" w:rsidRDefault="00987BF5">
            <w:pPr>
              <w:spacing w:line="276" w:lineRule="auto"/>
              <w:jc w:val="center"/>
              <w:rPr>
                <w:rFonts w:ascii="Times New Roman" w:hAnsi="Times New Roman" w:cs="Times New Roman"/>
                <w:bCs/>
                <w:sz w:val="24"/>
                <w:lang w:eastAsia="zh-CN"/>
              </w:rPr>
            </w:pPr>
            <w:r>
              <w:rPr>
                <w:rFonts w:ascii="Times New Roman" w:hAnsi="Times New Roman" w:cs="Times New Roman" w:hint="eastAsia"/>
                <w:sz w:val="24"/>
                <w:lang w:eastAsia="zh-CN"/>
              </w:rPr>
              <w:t>游玮（召集人）、许礼进、</w:t>
            </w:r>
            <w:r>
              <w:rPr>
                <w:rFonts w:ascii="Times New Roman" w:hAnsi="Times New Roman" w:cs="Times New Roman" w:hint="eastAsia"/>
                <w:b/>
                <w:sz w:val="24"/>
                <w:lang w:eastAsia="zh-CN"/>
              </w:rPr>
              <w:t>王硕</w:t>
            </w:r>
          </w:p>
        </w:tc>
      </w:tr>
    </w:tbl>
    <w:p w:rsidR="00306996" w:rsidRDefault="00987BF5">
      <w:pPr>
        <w:spacing w:line="360" w:lineRule="auto"/>
        <w:ind w:firstLineChars="200" w:firstLine="420"/>
        <w:jc w:val="both"/>
        <w:rPr>
          <w:rFonts w:ascii="Times New Roman" w:hAnsi="Times New Roman" w:cs="Times New Roman"/>
          <w:sz w:val="21"/>
          <w:szCs w:val="21"/>
          <w:lang w:eastAsia="zh-CN"/>
        </w:rPr>
      </w:pPr>
      <w:r>
        <w:rPr>
          <w:rFonts w:ascii="Times New Roman" w:hAnsi="Times New Roman" w:cs="Times New Roman" w:hint="eastAsia"/>
          <w:sz w:val="21"/>
          <w:szCs w:val="21"/>
          <w:lang w:eastAsia="zh-CN"/>
        </w:rPr>
        <w:t>注：上表加粗部分为本次调整的人员。</w:t>
      </w:r>
    </w:p>
    <w:p w:rsidR="00306996" w:rsidRDefault="00987BF5">
      <w:pPr>
        <w:spacing w:line="360" w:lineRule="auto"/>
        <w:ind w:firstLineChars="200" w:firstLine="480"/>
        <w:jc w:val="both"/>
        <w:rPr>
          <w:rFonts w:ascii="Times New Roman" w:hAnsi="Times New Roman" w:cs="Times New Roman"/>
          <w:bCs/>
          <w:sz w:val="24"/>
          <w:lang w:eastAsia="zh-CN"/>
        </w:rPr>
      </w:pPr>
      <w:r>
        <w:rPr>
          <w:rFonts w:ascii="Times New Roman" w:hAnsi="Times New Roman" w:cs="Times New Roman" w:hint="eastAsia"/>
          <w:sz w:val="24"/>
          <w:lang w:eastAsia="zh-CN"/>
        </w:rPr>
        <w:t>其中，审计委员会及提名、薪酬与考核委员会中独立董事均占半数以上，且审计委员会的召集人杜颖洁博士为会计专业人士。本次调整后的第三届董事会专门委员会委员的任期与第三届董事会任期一致。</w:t>
      </w:r>
    </w:p>
    <w:p w:rsidR="00306996" w:rsidRDefault="00987BF5">
      <w:pPr>
        <w:spacing w:line="360" w:lineRule="auto"/>
        <w:ind w:firstLineChars="200" w:firstLine="480"/>
        <w:jc w:val="both"/>
        <w:rPr>
          <w:rFonts w:ascii="Times New Roman" w:hAnsi="Times New Roman" w:cs="Times New Roman"/>
          <w:bCs/>
          <w:sz w:val="24"/>
          <w:lang w:eastAsia="zh-CN"/>
        </w:rPr>
      </w:pPr>
      <w:r>
        <w:rPr>
          <w:rFonts w:ascii="Times New Roman" w:hAnsi="Times New Roman" w:cs="Times New Roman" w:hint="eastAsia"/>
          <w:bCs/>
          <w:sz w:val="24"/>
          <w:lang w:eastAsia="zh-CN"/>
        </w:rPr>
        <w:t>杜颖洁博士、马占春先生、王硕博士的简历详见公司于</w:t>
      </w:r>
      <w:r>
        <w:rPr>
          <w:rFonts w:ascii="Times New Roman" w:hAnsi="Times New Roman" w:cs="Times New Roman"/>
          <w:bCs/>
          <w:sz w:val="24"/>
          <w:lang w:eastAsia="zh-CN"/>
        </w:rPr>
        <w:t>2023</w:t>
      </w:r>
      <w:r>
        <w:rPr>
          <w:rFonts w:ascii="Times New Roman" w:hAnsi="Times New Roman" w:cs="Times New Roman"/>
          <w:bCs/>
          <w:sz w:val="24"/>
          <w:lang w:eastAsia="zh-CN"/>
        </w:rPr>
        <w:t>年</w:t>
      </w:r>
      <w:r>
        <w:rPr>
          <w:rFonts w:ascii="Times New Roman" w:hAnsi="Times New Roman" w:cs="Times New Roman"/>
          <w:bCs/>
          <w:sz w:val="24"/>
          <w:lang w:eastAsia="zh-CN"/>
        </w:rPr>
        <w:t>9</w:t>
      </w:r>
      <w:r>
        <w:rPr>
          <w:rFonts w:ascii="Times New Roman" w:hAnsi="Times New Roman" w:cs="Times New Roman"/>
          <w:bCs/>
          <w:sz w:val="24"/>
          <w:lang w:eastAsia="zh-CN"/>
        </w:rPr>
        <w:t>月</w:t>
      </w:r>
      <w:r>
        <w:rPr>
          <w:rFonts w:ascii="Times New Roman" w:hAnsi="Times New Roman" w:cs="Times New Roman"/>
          <w:bCs/>
          <w:sz w:val="24"/>
          <w:lang w:eastAsia="zh-CN"/>
        </w:rPr>
        <w:t>1</w:t>
      </w:r>
      <w:r>
        <w:rPr>
          <w:rFonts w:ascii="Times New Roman" w:hAnsi="Times New Roman" w:cs="Times New Roman"/>
          <w:bCs/>
          <w:sz w:val="24"/>
          <w:lang w:eastAsia="zh-CN"/>
        </w:rPr>
        <w:t>日在上海证券交易所网站（</w:t>
      </w:r>
      <w:r>
        <w:rPr>
          <w:rFonts w:ascii="Times New Roman" w:hAnsi="Times New Roman" w:cs="Times New Roman"/>
          <w:bCs/>
          <w:sz w:val="24"/>
          <w:lang w:eastAsia="zh-CN"/>
        </w:rPr>
        <w:t>www.sse.com.cn</w:t>
      </w:r>
      <w:r>
        <w:rPr>
          <w:rFonts w:ascii="Times New Roman" w:hAnsi="Times New Roman" w:cs="Times New Roman"/>
          <w:bCs/>
          <w:sz w:val="24"/>
          <w:lang w:eastAsia="zh-CN"/>
        </w:rPr>
        <w:t>）披露的《</w:t>
      </w:r>
      <w:r>
        <w:rPr>
          <w:rFonts w:ascii="Times New Roman" w:hAnsi="Times New Roman" w:cs="Times New Roman" w:hint="eastAsia"/>
          <w:bCs/>
          <w:sz w:val="24"/>
          <w:lang w:eastAsia="zh-CN"/>
        </w:rPr>
        <w:t>埃夫特</w:t>
      </w:r>
      <w:r>
        <w:rPr>
          <w:rFonts w:ascii="Times New Roman" w:hAnsi="Times New Roman" w:cs="Times New Roman"/>
          <w:bCs/>
          <w:sz w:val="24"/>
          <w:lang w:eastAsia="zh-CN"/>
        </w:rPr>
        <w:t>关于</w:t>
      </w:r>
      <w:r>
        <w:rPr>
          <w:rFonts w:ascii="Times New Roman" w:hAnsi="Times New Roman" w:cs="Times New Roman" w:hint="eastAsia"/>
          <w:bCs/>
          <w:sz w:val="24"/>
          <w:lang w:eastAsia="zh-CN"/>
        </w:rPr>
        <w:t>公司独立董事任期届满暨补选独立董事</w:t>
      </w:r>
      <w:r>
        <w:rPr>
          <w:rFonts w:ascii="Times New Roman" w:hAnsi="Times New Roman" w:cs="Times New Roman"/>
          <w:bCs/>
          <w:sz w:val="24"/>
          <w:lang w:eastAsia="zh-CN"/>
        </w:rPr>
        <w:t>的公告》（公告编号：</w:t>
      </w:r>
      <w:r>
        <w:rPr>
          <w:rFonts w:ascii="Times New Roman" w:hAnsi="Times New Roman" w:cs="Times New Roman"/>
          <w:bCs/>
          <w:sz w:val="24"/>
          <w:lang w:eastAsia="zh-CN"/>
        </w:rPr>
        <w:t>2023-053</w:t>
      </w:r>
      <w:r>
        <w:rPr>
          <w:rFonts w:ascii="Times New Roman" w:hAnsi="Times New Roman" w:cs="Times New Roman"/>
          <w:bCs/>
          <w:sz w:val="24"/>
          <w:lang w:eastAsia="zh-CN"/>
        </w:rPr>
        <w:t>）。</w:t>
      </w:r>
    </w:p>
    <w:p w:rsidR="00306996" w:rsidRDefault="00987BF5">
      <w:pPr>
        <w:spacing w:line="360" w:lineRule="auto"/>
        <w:ind w:firstLineChars="200" w:firstLine="480"/>
        <w:jc w:val="both"/>
        <w:rPr>
          <w:rFonts w:ascii="Times New Roman" w:hAnsi="Times New Roman" w:cs="Times New Roman"/>
          <w:sz w:val="24"/>
          <w:lang w:eastAsia="zh-CN"/>
        </w:rPr>
      </w:pPr>
      <w:r>
        <w:rPr>
          <w:rFonts w:ascii="Times New Roman" w:hAnsi="Times New Roman" w:cs="Times New Roman" w:hint="eastAsia"/>
          <w:sz w:val="24"/>
          <w:lang w:eastAsia="zh-CN"/>
        </w:rPr>
        <w:lastRenderedPageBreak/>
        <w:t>特此公告。</w:t>
      </w:r>
    </w:p>
    <w:p w:rsidR="00306996" w:rsidRDefault="00306996">
      <w:pPr>
        <w:spacing w:line="360" w:lineRule="auto"/>
        <w:ind w:firstLineChars="200" w:firstLine="480"/>
        <w:jc w:val="right"/>
        <w:rPr>
          <w:rFonts w:ascii="Times New Roman" w:hAnsi="Times New Roman" w:cs="Times New Roman"/>
          <w:sz w:val="24"/>
          <w:lang w:eastAsia="zh-CN"/>
        </w:rPr>
      </w:pPr>
    </w:p>
    <w:p w:rsidR="00306996" w:rsidRDefault="00987BF5">
      <w:pPr>
        <w:spacing w:line="360" w:lineRule="auto"/>
        <w:ind w:firstLineChars="200" w:firstLine="480"/>
        <w:jc w:val="right"/>
        <w:rPr>
          <w:rFonts w:ascii="Times New Roman" w:hAnsi="Times New Roman" w:cs="Times New Roman"/>
          <w:sz w:val="24"/>
          <w:lang w:eastAsia="zh-CN"/>
        </w:rPr>
      </w:pPr>
      <w:r>
        <w:rPr>
          <w:rFonts w:ascii="Times New Roman" w:hAnsi="Times New Roman" w:cs="Times New Roman" w:hint="eastAsia"/>
          <w:sz w:val="24"/>
          <w:lang w:eastAsia="zh-CN"/>
        </w:rPr>
        <w:t>埃夫</w:t>
      </w:r>
      <w:proofErr w:type="gramStart"/>
      <w:r>
        <w:rPr>
          <w:rFonts w:ascii="Times New Roman" w:hAnsi="Times New Roman" w:cs="Times New Roman" w:hint="eastAsia"/>
          <w:sz w:val="24"/>
          <w:lang w:eastAsia="zh-CN"/>
        </w:rPr>
        <w:t>特</w:t>
      </w:r>
      <w:proofErr w:type="gramEnd"/>
      <w:r>
        <w:rPr>
          <w:rFonts w:ascii="Times New Roman" w:hAnsi="Times New Roman" w:cs="Times New Roman" w:hint="eastAsia"/>
          <w:sz w:val="24"/>
          <w:lang w:eastAsia="zh-CN"/>
        </w:rPr>
        <w:t>智能装备股份有限公司董事会</w:t>
      </w:r>
    </w:p>
    <w:p w:rsidR="00306996" w:rsidRDefault="00987BF5">
      <w:pPr>
        <w:spacing w:line="360" w:lineRule="auto"/>
        <w:ind w:firstLineChars="200" w:firstLine="480"/>
        <w:jc w:val="right"/>
        <w:rPr>
          <w:rFonts w:ascii="Times New Roman" w:hAnsi="Times New Roman" w:cs="Times New Roman"/>
          <w:bCs/>
          <w:sz w:val="24"/>
          <w:lang w:eastAsia="zh-CN"/>
        </w:rPr>
      </w:pPr>
      <w:bookmarkStart w:id="0" w:name="_GoBack"/>
      <w:bookmarkEnd w:id="0"/>
      <w:r>
        <w:rPr>
          <w:rFonts w:ascii="Times New Roman" w:hAnsi="Times New Roman" w:cs="Times New Roman"/>
          <w:sz w:val="24"/>
          <w:lang w:eastAsia="zh-CN"/>
        </w:rPr>
        <w:t>2023</w:t>
      </w:r>
      <w:r>
        <w:rPr>
          <w:rFonts w:ascii="Times New Roman" w:hAnsi="Times New Roman" w:cs="Times New Roman"/>
          <w:sz w:val="24"/>
          <w:lang w:eastAsia="zh-CN"/>
        </w:rPr>
        <w:t>年</w:t>
      </w:r>
      <w:r>
        <w:rPr>
          <w:rFonts w:ascii="Times New Roman" w:hAnsi="Times New Roman" w:cs="Times New Roman"/>
          <w:sz w:val="24"/>
          <w:lang w:eastAsia="zh-CN"/>
        </w:rPr>
        <w:t>9</w:t>
      </w:r>
      <w:r>
        <w:rPr>
          <w:rFonts w:ascii="Times New Roman" w:hAnsi="Times New Roman" w:cs="Times New Roman" w:hint="eastAsia"/>
          <w:sz w:val="24"/>
          <w:lang w:eastAsia="zh-CN"/>
        </w:rPr>
        <w:t>月</w:t>
      </w:r>
      <w:r>
        <w:rPr>
          <w:rFonts w:ascii="Times New Roman" w:hAnsi="Times New Roman" w:cs="Times New Roman"/>
          <w:sz w:val="24"/>
          <w:lang w:eastAsia="zh-CN"/>
        </w:rPr>
        <w:t>19</w:t>
      </w:r>
      <w:r>
        <w:rPr>
          <w:rFonts w:ascii="Times New Roman" w:hAnsi="Times New Roman" w:cs="Times New Roman" w:hint="eastAsia"/>
          <w:sz w:val="24"/>
          <w:lang w:eastAsia="zh-CN"/>
        </w:rPr>
        <w:t>日</w:t>
      </w:r>
    </w:p>
    <w:sectPr w:rsidR="0030699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AB3851"/>
    <w:rsid w:val="00033A2F"/>
    <w:rsid w:val="00035918"/>
    <w:rsid w:val="00063462"/>
    <w:rsid w:val="00064911"/>
    <w:rsid w:val="00070B75"/>
    <w:rsid w:val="0008050B"/>
    <w:rsid w:val="0008217E"/>
    <w:rsid w:val="00097C14"/>
    <w:rsid w:val="000A0D15"/>
    <w:rsid w:val="000B2106"/>
    <w:rsid w:val="000C0FB6"/>
    <w:rsid w:val="000C6BA7"/>
    <w:rsid w:val="000D3716"/>
    <w:rsid w:val="000D62A3"/>
    <w:rsid w:val="000E7AFC"/>
    <w:rsid w:val="000F40F2"/>
    <w:rsid w:val="0012140E"/>
    <w:rsid w:val="00134091"/>
    <w:rsid w:val="001364E9"/>
    <w:rsid w:val="001530D7"/>
    <w:rsid w:val="00180D1D"/>
    <w:rsid w:val="001B185D"/>
    <w:rsid w:val="001D4715"/>
    <w:rsid w:val="001E470C"/>
    <w:rsid w:val="001E539C"/>
    <w:rsid w:val="001F0BDA"/>
    <w:rsid w:val="001F74FD"/>
    <w:rsid w:val="002028F0"/>
    <w:rsid w:val="00203206"/>
    <w:rsid w:val="002149AF"/>
    <w:rsid w:val="00234831"/>
    <w:rsid w:val="0023490A"/>
    <w:rsid w:val="0023502E"/>
    <w:rsid w:val="00241CBD"/>
    <w:rsid w:val="002741C5"/>
    <w:rsid w:val="002834EA"/>
    <w:rsid w:val="00285A0E"/>
    <w:rsid w:val="002A489D"/>
    <w:rsid w:val="002B43A7"/>
    <w:rsid w:val="002B7E43"/>
    <w:rsid w:val="002E735A"/>
    <w:rsid w:val="002F2689"/>
    <w:rsid w:val="00306996"/>
    <w:rsid w:val="00312AEE"/>
    <w:rsid w:val="00345C4F"/>
    <w:rsid w:val="00347B12"/>
    <w:rsid w:val="00355981"/>
    <w:rsid w:val="003606D2"/>
    <w:rsid w:val="00360739"/>
    <w:rsid w:val="0036120B"/>
    <w:rsid w:val="0037497B"/>
    <w:rsid w:val="00376024"/>
    <w:rsid w:val="003818BA"/>
    <w:rsid w:val="00381AA0"/>
    <w:rsid w:val="00386296"/>
    <w:rsid w:val="003A082B"/>
    <w:rsid w:val="003B0EE7"/>
    <w:rsid w:val="003C2E43"/>
    <w:rsid w:val="003E5CAC"/>
    <w:rsid w:val="00405AD5"/>
    <w:rsid w:val="00414117"/>
    <w:rsid w:val="00420A3B"/>
    <w:rsid w:val="00422EE0"/>
    <w:rsid w:val="00433124"/>
    <w:rsid w:val="004455D8"/>
    <w:rsid w:val="00446B06"/>
    <w:rsid w:val="00453315"/>
    <w:rsid w:val="00456261"/>
    <w:rsid w:val="00472E87"/>
    <w:rsid w:val="00491F85"/>
    <w:rsid w:val="004A246A"/>
    <w:rsid w:val="004B078F"/>
    <w:rsid w:val="004B0BC2"/>
    <w:rsid w:val="004C1895"/>
    <w:rsid w:val="004C4915"/>
    <w:rsid w:val="004E449E"/>
    <w:rsid w:val="00500C50"/>
    <w:rsid w:val="0050298D"/>
    <w:rsid w:val="00530535"/>
    <w:rsid w:val="00534606"/>
    <w:rsid w:val="00537536"/>
    <w:rsid w:val="0054422A"/>
    <w:rsid w:val="005526AF"/>
    <w:rsid w:val="00561A53"/>
    <w:rsid w:val="00574C89"/>
    <w:rsid w:val="00580946"/>
    <w:rsid w:val="00585930"/>
    <w:rsid w:val="005902A5"/>
    <w:rsid w:val="005A3509"/>
    <w:rsid w:val="005B05A3"/>
    <w:rsid w:val="005F15EF"/>
    <w:rsid w:val="0060554A"/>
    <w:rsid w:val="00612202"/>
    <w:rsid w:val="006138D7"/>
    <w:rsid w:val="00617282"/>
    <w:rsid w:val="0061791E"/>
    <w:rsid w:val="006241B5"/>
    <w:rsid w:val="0062659D"/>
    <w:rsid w:val="006271CD"/>
    <w:rsid w:val="00653989"/>
    <w:rsid w:val="00657A5E"/>
    <w:rsid w:val="00667842"/>
    <w:rsid w:val="00677744"/>
    <w:rsid w:val="00677B39"/>
    <w:rsid w:val="00683E0C"/>
    <w:rsid w:val="006A05F1"/>
    <w:rsid w:val="006B492F"/>
    <w:rsid w:val="006C0C82"/>
    <w:rsid w:val="006C427D"/>
    <w:rsid w:val="006E299E"/>
    <w:rsid w:val="006F3784"/>
    <w:rsid w:val="006F57BC"/>
    <w:rsid w:val="00702531"/>
    <w:rsid w:val="00703AC5"/>
    <w:rsid w:val="007224C0"/>
    <w:rsid w:val="00723F5C"/>
    <w:rsid w:val="00733647"/>
    <w:rsid w:val="00737CC6"/>
    <w:rsid w:val="007402EB"/>
    <w:rsid w:val="00753632"/>
    <w:rsid w:val="00757566"/>
    <w:rsid w:val="007601CF"/>
    <w:rsid w:val="00760FBE"/>
    <w:rsid w:val="007622C1"/>
    <w:rsid w:val="00766CEE"/>
    <w:rsid w:val="007B5A47"/>
    <w:rsid w:val="007B6021"/>
    <w:rsid w:val="007E7728"/>
    <w:rsid w:val="007F2151"/>
    <w:rsid w:val="0080468D"/>
    <w:rsid w:val="0080491B"/>
    <w:rsid w:val="008228C6"/>
    <w:rsid w:val="00830178"/>
    <w:rsid w:val="00835C1B"/>
    <w:rsid w:val="008430A7"/>
    <w:rsid w:val="00887437"/>
    <w:rsid w:val="008C7FFD"/>
    <w:rsid w:val="008F2D1A"/>
    <w:rsid w:val="008F47EB"/>
    <w:rsid w:val="008F6BF7"/>
    <w:rsid w:val="00905BDC"/>
    <w:rsid w:val="00933E43"/>
    <w:rsid w:val="00941CA6"/>
    <w:rsid w:val="00960BA6"/>
    <w:rsid w:val="00970719"/>
    <w:rsid w:val="009747BE"/>
    <w:rsid w:val="00980E1C"/>
    <w:rsid w:val="00987BF5"/>
    <w:rsid w:val="00992CC6"/>
    <w:rsid w:val="009973EF"/>
    <w:rsid w:val="009A1BD7"/>
    <w:rsid w:val="009A426F"/>
    <w:rsid w:val="009B1DA8"/>
    <w:rsid w:val="009D01D1"/>
    <w:rsid w:val="009D3119"/>
    <w:rsid w:val="009D5C6E"/>
    <w:rsid w:val="009E2B4C"/>
    <w:rsid w:val="009E386F"/>
    <w:rsid w:val="009F6F59"/>
    <w:rsid w:val="00A07F4E"/>
    <w:rsid w:val="00A32B73"/>
    <w:rsid w:val="00A334B7"/>
    <w:rsid w:val="00A91A80"/>
    <w:rsid w:val="00AA71DF"/>
    <w:rsid w:val="00AA7A51"/>
    <w:rsid w:val="00AB3851"/>
    <w:rsid w:val="00AC6F39"/>
    <w:rsid w:val="00AD0FC3"/>
    <w:rsid w:val="00AE1A70"/>
    <w:rsid w:val="00AE2BE3"/>
    <w:rsid w:val="00AE361B"/>
    <w:rsid w:val="00AF3935"/>
    <w:rsid w:val="00B0362C"/>
    <w:rsid w:val="00B20B30"/>
    <w:rsid w:val="00B237FE"/>
    <w:rsid w:val="00B24238"/>
    <w:rsid w:val="00B24E89"/>
    <w:rsid w:val="00B3609D"/>
    <w:rsid w:val="00B409B2"/>
    <w:rsid w:val="00B450AD"/>
    <w:rsid w:val="00B52178"/>
    <w:rsid w:val="00B60308"/>
    <w:rsid w:val="00B622AF"/>
    <w:rsid w:val="00B70C38"/>
    <w:rsid w:val="00B733B7"/>
    <w:rsid w:val="00B77041"/>
    <w:rsid w:val="00B80D67"/>
    <w:rsid w:val="00B8647B"/>
    <w:rsid w:val="00B93CCD"/>
    <w:rsid w:val="00B94093"/>
    <w:rsid w:val="00BA2D4E"/>
    <w:rsid w:val="00BA4079"/>
    <w:rsid w:val="00BA65E1"/>
    <w:rsid w:val="00BA76B1"/>
    <w:rsid w:val="00BB510D"/>
    <w:rsid w:val="00BE342A"/>
    <w:rsid w:val="00BF0095"/>
    <w:rsid w:val="00BF0F20"/>
    <w:rsid w:val="00C067EC"/>
    <w:rsid w:val="00C07F14"/>
    <w:rsid w:val="00C2048F"/>
    <w:rsid w:val="00C2467A"/>
    <w:rsid w:val="00C27495"/>
    <w:rsid w:val="00C32D9D"/>
    <w:rsid w:val="00C36FAE"/>
    <w:rsid w:val="00C52C30"/>
    <w:rsid w:val="00C562E0"/>
    <w:rsid w:val="00C8121C"/>
    <w:rsid w:val="00C873D7"/>
    <w:rsid w:val="00CA6B98"/>
    <w:rsid w:val="00CC103B"/>
    <w:rsid w:val="00CF16AF"/>
    <w:rsid w:val="00D073CF"/>
    <w:rsid w:val="00D279CD"/>
    <w:rsid w:val="00D329B4"/>
    <w:rsid w:val="00D356ED"/>
    <w:rsid w:val="00D44C23"/>
    <w:rsid w:val="00D53895"/>
    <w:rsid w:val="00D5732E"/>
    <w:rsid w:val="00D57395"/>
    <w:rsid w:val="00D62DF7"/>
    <w:rsid w:val="00D64EB3"/>
    <w:rsid w:val="00D65369"/>
    <w:rsid w:val="00D91D06"/>
    <w:rsid w:val="00DB545A"/>
    <w:rsid w:val="00DC36C2"/>
    <w:rsid w:val="00DC7F56"/>
    <w:rsid w:val="00DD6EAD"/>
    <w:rsid w:val="00DE6C09"/>
    <w:rsid w:val="00E06096"/>
    <w:rsid w:val="00E06453"/>
    <w:rsid w:val="00E3215E"/>
    <w:rsid w:val="00E422E7"/>
    <w:rsid w:val="00E57071"/>
    <w:rsid w:val="00E71E58"/>
    <w:rsid w:val="00E8093A"/>
    <w:rsid w:val="00E83292"/>
    <w:rsid w:val="00E83857"/>
    <w:rsid w:val="00EA3B99"/>
    <w:rsid w:val="00EA57E4"/>
    <w:rsid w:val="00EC556A"/>
    <w:rsid w:val="00EC5FFE"/>
    <w:rsid w:val="00EC636A"/>
    <w:rsid w:val="00ED0525"/>
    <w:rsid w:val="00EE3CB8"/>
    <w:rsid w:val="00EE629A"/>
    <w:rsid w:val="00EF6129"/>
    <w:rsid w:val="00F02E57"/>
    <w:rsid w:val="00F150D4"/>
    <w:rsid w:val="00F15108"/>
    <w:rsid w:val="00F24546"/>
    <w:rsid w:val="00F33074"/>
    <w:rsid w:val="00F332ED"/>
    <w:rsid w:val="00F46A84"/>
    <w:rsid w:val="00F47632"/>
    <w:rsid w:val="00F6166A"/>
    <w:rsid w:val="00F61FEF"/>
    <w:rsid w:val="00F66AE1"/>
    <w:rsid w:val="00F87A3A"/>
    <w:rsid w:val="00F90BF5"/>
    <w:rsid w:val="00FA0D15"/>
    <w:rsid w:val="00FA25EC"/>
    <w:rsid w:val="00FB3609"/>
    <w:rsid w:val="00FB5882"/>
    <w:rsid w:val="00FE264B"/>
    <w:rsid w:val="05F97CB6"/>
    <w:rsid w:val="06FD691D"/>
    <w:rsid w:val="086C435F"/>
    <w:rsid w:val="0C9C6CA8"/>
    <w:rsid w:val="0F3776B5"/>
    <w:rsid w:val="18DF1911"/>
    <w:rsid w:val="19654266"/>
    <w:rsid w:val="1B9073FE"/>
    <w:rsid w:val="1CDE7CB3"/>
    <w:rsid w:val="24E84937"/>
    <w:rsid w:val="294B1893"/>
    <w:rsid w:val="2A143E37"/>
    <w:rsid w:val="31D0137F"/>
    <w:rsid w:val="31DA6418"/>
    <w:rsid w:val="349618B6"/>
    <w:rsid w:val="35E31624"/>
    <w:rsid w:val="37315D83"/>
    <w:rsid w:val="38B733CC"/>
    <w:rsid w:val="3BB00085"/>
    <w:rsid w:val="439A33A0"/>
    <w:rsid w:val="46B95602"/>
    <w:rsid w:val="50D26EF2"/>
    <w:rsid w:val="57221A35"/>
    <w:rsid w:val="5741036D"/>
    <w:rsid w:val="59F11C0A"/>
    <w:rsid w:val="5FBE637B"/>
    <w:rsid w:val="62BB6B0E"/>
    <w:rsid w:val="63955FA5"/>
    <w:rsid w:val="6C914780"/>
    <w:rsid w:val="6DD116E7"/>
    <w:rsid w:val="71A24651"/>
    <w:rsid w:val="771428D4"/>
    <w:rsid w:val="78BC08F1"/>
    <w:rsid w:val="7D250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02E70F"/>
  <w15:docId w15:val="{FE0ECFB8-2572-436D-AC80-63B7F756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pPr>
    <w:rPr>
      <w:rFonts w:ascii="宋体" w:hAnsi="宋体" w:cs="宋体"/>
      <w:sz w:val="22"/>
      <w:szCs w:val="22"/>
      <w:lang w:eastAsia="en-US"/>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rPr>
      <w:rFonts w:cs="Times New Roman"/>
      <w:sz w:val="24"/>
      <w:szCs w:val="24"/>
    </w:rPr>
  </w:style>
  <w:style w:type="paragraph" w:styleId="a7">
    <w:name w:val="Balloon Text"/>
    <w:basedOn w:val="a"/>
    <w:link w:val="a8"/>
    <w:uiPriority w:val="99"/>
    <w:unhideWhenUsed/>
    <w:qFormat/>
    <w:rPr>
      <w:rFonts w:cs="Times New Roman"/>
      <w:sz w:val="18"/>
      <w:szCs w:val="18"/>
    </w:rPr>
  </w:style>
  <w:style w:type="paragraph" w:styleId="a9">
    <w:name w:val="footer"/>
    <w:basedOn w:val="a"/>
    <w:link w:val="aa"/>
    <w:uiPriority w:val="99"/>
    <w:unhideWhenUsed/>
    <w:qFormat/>
    <w:pPr>
      <w:tabs>
        <w:tab w:val="center" w:pos="4153"/>
        <w:tab w:val="right" w:pos="8306"/>
      </w:tabs>
      <w:snapToGrid w:val="0"/>
    </w:pPr>
    <w:rPr>
      <w:rFonts w:ascii="Calibri" w:hAnsi="Calibri" w:cs="Times New Roman"/>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ad">
    <w:name w:val="Normal (Web)"/>
    <w:basedOn w:val="a"/>
    <w:uiPriority w:val="99"/>
    <w:unhideWhenUsed/>
    <w:qFormat/>
    <w:pPr>
      <w:widowControl/>
      <w:spacing w:before="100" w:beforeAutospacing="1" w:after="100" w:afterAutospacing="1"/>
    </w:pPr>
    <w:rPr>
      <w:sz w:val="24"/>
      <w:szCs w:val="24"/>
      <w:lang w:eastAsia="zh-CN"/>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
    <w:name w:val="标题 11"/>
    <w:basedOn w:val="a"/>
    <w:uiPriority w:val="1"/>
    <w:qFormat/>
    <w:pPr>
      <w:ind w:left="1935" w:right="1935"/>
      <w:jc w:val="center"/>
      <w:outlineLvl w:val="1"/>
    </w:pPr>
    <w:rPr>
      <w:rFonts w:ascii="微软雅黑" w:eastAsia="微软雅黑" w:hAnsi="微软雅黑" w:cs="微软雅黑"/>
      <w:b/>
      <w:bCs/>
      <w:sz w:val="32"/>
      <w:szCs w:val="32"/>
    </w:rPr>
  </w:style>
  <w:style w:type="paragraph" w:customStyle="1" w:styleId="TableParagraph">
    <w:name w:val="Table Paragraph"/>
    <w:basedOn w:val="a"/>
    <w:uiPriority w:val="1"/>
    <w:qFormat/>
    <w:pPr>
      <w:spacing w:before="48"/>
      <w:jc w:val="center"/>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8">
    <w:name w:val="批注框文本 字符"/>
    <w:link w:val="a7"/>
    <w:uiPriority w:val="99"/>
    <w:semiHidden/>
    <w:qFormat/>
    <w:rPr>
      <w:rFonts w:ascii="宋体" w:eastAsia="宋体" w:hAnsi="宋体" w:cs="宋体"/>
      <w:kern w:val="0"/>
      <w:sz w:val="18"/>
      <w:szCs w:val="18"/>
      <w:lang w:eastAsia="en-US"/>
    </w:rPr>
  </w:style>
  <w:style w:type="character" w:customStyle="1" w:styleId="ac">
    <w:name w:val="页眉 字符"/>
    <w:link w:val="ab"/>
    <w:uiPriority w:val="99"/>
    <w:qFormat/>
    <w:rPr>
      <w:sz w:val="18"/>
      <w:szCs w:val="18"/>
    </w:rPr>
  </w:style>
  <w:style w:type="character" w:customStyle="1" w:styleId="a6">
    <w:name w:val="正文文本 字符"/>
    <w:link w:val="a5"/>
    <w:uiPriority w:val="1"/>
    <w:qFormat/>
    <w:rPr>
      <w:rFonts w:ascii="宋体" w:eastAsia="宋体" w:hAnsi="宋体" w:cs="宋体"/>
      <w:kern w:val="0"/>
      <w:sz w:val="24"/>
      <w:szCs w:val="24"/>
      <w:lang w:eastAsia="en-US"/>
    </w:rPr>
  </w:style>
  <w:style w:type="character" w:customStyle="1" w:styleId="aa">
    <w:name w:val="页脚 字符"/>
    <w:link w:val="a9"/>
    <w:uiPriority w:val="99"/>
    <w:qFormat/>
    <w:rPr>
      <w:sz w:val="18"/>
      <w:szCs w:val="18"/>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character" w:customStyle="1" w:styleId="10">
    <w:name w:val="标题 1 字符"/>
    <w:basedOn w:val="a0"/>
    <w:link w:val="1"/>
    <w:qFormat/>
    <w:rPr>
      <w:rFonts w:ascii="宋体" w:hAnsi="宋体" w:cs="宋体"/>
      <w:b/>
      <w:bCs/>
      <w:kern w:val="44"/>
      <w:sz w:val="44"/>
      <w:szCs w:val="44"/>
      <w:lang w:eastAsia="en-US"/>
    </w:r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eastAsia="en-US"/>
    </w:rPr>
  </w:style>
  <w:style w:type="character" w:customStyle="1" w:styleId="30">
    <w:name w:val="标题 3 字符"/>
    <w:basedOn w:val="a0"/>
    <w:link w:val="3"/>
    <w:uiPriority w:val="9"/>
    <w:qFormat/>
    <w:rPr>
      <w:rFonts w:ascii="宋体" w:hAnsi="宋体" w:cs="宋体"/>
      <w:b/>
      <w:bCs/>
      <w:sz w:val="32"/>
      <w:szCs w:val="32"/>
      <w:lang w:eastAsia="en-US"/>
    </w:rPr>
  </w:style>
  <w:style w:type="paragraph" w:customStyle="1" w:styleId="12">
    <w:name w:val="修订1"/>
    <w:hidden/>
    <w:uiPriority w:val="99"/>
    <w:semiHidden/>
    <w:qFormat/>
    <w:rPr>
      <w:rFonts w:ascii="宋体" w:hAnsi="宋体" w:cs="宋体"/>
      <w:sz w:val="22"/>
      <w:szCs w:val="22"/>
      <w:lang w:eastAsia="en-US"/>
    </w:rPr>
  </w:style>
  <w:style w:type="character" w:customStyle="1" w:styleId="a4">
    <w:name w:val="批注文字 字符"/>
    <w:basedOn w:val="a0"/>
    <w:link w:val="a3"/>
    <w:uiPriority w:val="99"/>
    <w:semiHidden/>
    <w:qFormat/>
    <w:rPr>
      <w:rFonts w:ascii="宋体" w:hAnsi="宋体" w:cs="宋体"/>
      <w:sz w:val="22"/>
      <w:szCs w:val="22"/>
      <w:lang w:eastAsia="en-US"/>
    </w:rPr>
  </w:style>
  <w:style w:type="character" w:customStyle="1" w:styleId="af">
    <w:name w:val="批注主题 字符"/>
    <w:basedOn w:val="a4"/>
    <w:link w:val="ae"/>
    <w:uiPriority w:val="99"/>
    <w:semiHidden/>
    <w:qFormat/>
    <w:rPr>
      <w:rFonts w:ascii="宋体" w:hAnsi="宋体" w:cs="宋体"/>
      <w:b/>
      <w:bCs/>
      <w:sz w:val="22"/>
      <w:szCs w:val="22"/>
      <w:lang w:eastAsia="en-US"/>
    </w:rPr>
  </w:style>
  <w:style w:type="paragraph" w:customStyle="1" w:styleId="21">
    <w:name w:val="修订2"/>
    <w:hidden/>
    <w:uiPriority w:val="99"/>
    <w:semiHidden/>
    <w:qFormat/>
    <w:rPr>
      <w:rFonts w:ascii="宋体" w:hAnsi="宋体" w:cs="宋体"/>
      <w:sz w:val="22"/>
      <w:szCs w:val="22"/>
      <w:lang w:eastAsia="en-US"/>
    </w:rPr>
  </w:style>
  <w:style w:type="paragraph" w:customStyle="1" w:styleId="31">
    <w:name w:val="修订3"/>
    <w:hidden/>
    <w:uiPriority w:val="99"/>
    <w:semiHidden/>
    <w:qFormat/>
    <w:rPr>
      <w:rFonts w:ascii="宋体" w:hAnsi="宋体" w:cs="宋体"/>
      <w:sz w:val="22"/>
      <w:szCs w:val="22"/>
      <w:lang w:eastAsia="en-US"/>
    </w:rPr>
  </w:style>
  <w:style w:type="character" w:customStyle="1" w:styleId="13">
    <w:name w:val="未处理的提及1"/>
    <w:basedOn w:val="a0"/>
    <w:uiPriority w:val="99"/>
    <w:semiHidden/>
    <w:unhideWhenUsed/>
    <w:qFormat/>
    <w:rPr>
      <w:color w:val="605E5C"/>
      <w:shd w:val="clear" w:color="auto" w:fill="E1DFDD"/>
    </w:rPr>
  </w:style>
  <w:style w:type="paragraph" w:customStyle="1" w:styleId="4">
    <w:name w:val="修订4"/>
    <w:hidden/>
    <w:uiPriority w:val="99"/>
    <w:semiHidden/>
    <w:qFormat/>
    <w:rPr>
      <w:rFonts w:ascii="宋体" w:hAnsi="宋体" w:cs="宋体"/>
      <w:sz w:val="22"/>
      <w:szCs w:val="22"/>
      <w:lang w:eastAsia="en-US"/>
    </w:rPr>
  </w:style>
  <w:style w:type="paragraph" w:customStyle="1" w:styleId="5">
    <w:name w:val="修订5"/>
    <w:hidden/>
    <w:uiPriority w:val="99"/>
    <w:semiHidden/>
    <w:qFormat/>
    <w:rPr>
      <w:rFonts w:ascii="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874E-5FE3-470E-8333-999620F9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伍玉蓉</cp:lastModifiedBy>
  <cp:revision>10</cp:revision>
  <cp:lastPrinted>2022-12-21T03:00:00Z</cp:lastPrinted>
  <dcterms:created xsi:type="dcterms:W3CDTF">2022-12-21T06:12:00Z</dcterms:created>
  <dcterms:modified xsi:type="dcterms:W3CDTF">2023-09-18T06:34:00Z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70929871FB3547FDA8C519F3C3F1E94D</vt:lpwstr>
  </property>
</Properties>
</file>