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Times New Roman" w:eastAsia="宋体"/>
          <w:sz w:val="20"/>
          <w:lang w:eastAsia="zh-CN"/>
        </w:rPr>
      </w:pPr>
      <w:bookmarkStart w:id="13" w:name="_GoBack"/>
      <w:bookmarkEnd w:id="13"/>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spacing w:before="205"/>
        <w:ind w:left="19"/>
        <w:jc w:val="center"/>
        <w:rPr>
          <w:b/>
          <w:sz w:val="48"/>
        </w:rPr>
      </w:pPr>
      <w:r>
        <w:rPr>
          <w:b/>
          <w:w w:val="99"/>
          <w:sz w:val="48"/>
        </w:rPr>
        <w:t xml:space="preserve"> </w:t>
      </w:r>
    </w:p>
    <w:p>
      <w:pPr>
        <w:spacing w:before="211" w:line="360" w:lineRule="auto"/>
        <w:ind w:left="17"/>
        <w:jc w:val="center"/>
        <w:rPr>
          <w:b/>
          <w:sz w:val="48"/>
        </w:rPr>
      </w:pPr>
      <w:r>
        <w:rPr>
          <w:rFonts w:hint="eastAsia"/>
          <w:b/>
          <w:sz w:val="48"/>
        </w:rPr>
        <w:t>埃夫特智能装备</w:t>
      </w:r>
      <w:r>
        <w:rPr>
          <w:b/>
          <w:sz w:val="48"/>
        </w:rPr>
        <w:t>股份有限公司</w:t>
      </w:r>
      <w:r>
        <w:rPr>
          <w:b/>
          <w:w w:val="99"/>
          <w:sz w:val="48"/>
        </w:rPr>
        <w:t xml:space="preserve"> </w:t>
      </w:r>
    </w:p>
    <w:p>
      <w:pPr>
        <w:pStyle w:val="9"/>
        <w:spacing w:before="9" w:line="360" w:lineRule="auto"/>
        <w:outlineLvl w:val="0"/>
        <w:rPr>
          <w:b/>
          <w:sz w:val="13"/>
        </w:rPr>
      </w:pPr>
    </w:p>
    <w:p>
      <w:pPr>
        <w:spacing w:before="33" w:line="360" w:lineRule="auto"/>
        <w:ind w:left="22"/>
        <w:jc w:val="center"/>
        <w:outlineLvl w:val="0"/>
        <w:rPr>
          <w:b/>
          <w:sz w:val="48"/>
        </w:rPr>
      </w:pPr>
      <w:bookmarkStart w:id="0" w:name="_Toc47446811"/>
      <w:bookmarkStart w:id="1" w:name="_Toc47446718"/>
      <w:r>
        <w:rPr>
          <w:b/>
          <w:sz w:val="48"/>
        </w:rPr>
        <w:t>2020 年第一次临时股东大会会议资料</w:t>
      </w:r>
      <w:bookmarkEnd w:id="0"/>
      <w:bookmarkEnd w:id="1"/>
      <w:r>
        <w:rPr>
          <w:b/>
          <w:w w:val="99"/>
          <w:sz w:val="48"/>
        </w:rPr>
        <w:t xml:space="preserve"> </w:t>
      </w:r>
    </w:p>
    <w:p>
      <w:pPr>
        <w:spacing w:before="302"/>
        <w:ind w:left="69"/>
        <w:jc w:val="center"/>
        <w:rPr>
          <w:b/>
          <w:sz w:val="58"/>
        </w:rPr>
      </w:pPr>
      <w:r>
        <w:rPr>
          <w:b/>
          <w:w w:val="99"/>
          <w:sz w:val="58"/>
        </w:rPr>
        <w:t xml:space="preserve"> </w:t>
      </w:r>
    </w:p>
    <w:p>
      <w:pPr>
        <w:pStyle w:val="9"/>
        <w:jc w:val="center"/>
        <w:rPr>
          <w:b/>
          <w:sz w:val="20"/>
        </w:rPr>
      </w:pPr>
      <w:r>
        <w:rPr>
          <w:b/>
          <w:sz w:val="20"/>
          <w:lang w:val="en-US" w:bidi="ar-SA"/>
        </w:rPr>
        <w:drawing>
          <wp:inline distT="0" distB="0" distL="0" distR="0">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pPr>
        <w:pStyle w:val="9"/>
        <w:spacing w:before="10"/>
        <w:rPr>
          <w:b/>
          <w:sz w:val="21"/>
        </w:rPr>
      </w:pPr>
    </w:p>
    <w:p>
      <w:pPr>
        <w:spacing w:line="360" w:lineRule="auto"/>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t>股票简称：</w:t>
      </w:r>
      <w:r>
        <w:rPr>
          <w:rFonts w:hint="eastAsia" w:asciiTheme="minorEastAsia" w:hAnsiTheme="minorEastAsia" w:eastAsiaTheme="minorEastAsia"/>
          <w:b/>
          <w:bCs/>
          <w:sz w:val="32"/>
          <w:szCs w:val="32"/>
        </w:rPr>
        <w:t>埃夫特</w:t>
      </w:r>
    </w:p>
    <w:p>
      <w:pPr>
        <w:spacing w:line="360" w:lineRule="auto"/>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t>股票代码：688</w:t>
      </w:r>
      <w:r>
        <w:rPr>
          <w:rFonts w:hint="eastAsia" w:asciiTheme="minorEastAsia" w:hAnsiTheme="minorEastAsia" w:eastAsiaTheme="minorEastAsia"/>
          <w:b/>
          <w:bCs/>
          <w:sz w:val="32"/>
          <w:szCs w:val="32"/>
        </w:rPr>
        <w:t>165</w:t>
      </w:r>
    </w:p>
    <w:p>
      <w:pPr>
        <w:pStyle w:val="9"/>
        <w:spacing w:line="360" w:lineRule="auto"/>
        <w:jc w:val="center"/>
        <w:rPr>
          <w:rFonts w:asciiTheme="minorEastAsia" w:hAnsiTheme="minorEastAsia" w:eastAsiaTheme="minorEastAsia"/>
          <w:b/>
          <w:bCs/>
          <w:sz w:val="32"/>
          <w:szCs w:val="32"/>
        </w:rPr>
      </w:pPr>
    </w:p>
    <w:p>
      <w:pPr>
        <w:pStyle w:val="9"/>
        <w:spacing w:line="360" w:lineRule="auto"/>
        <w:jc w:val="center"/>
        <w:rPr>
          <w:rFonts w:asciiTheme="minorEastAsia" w:hAnsiTheme="minorEastAsia" w:eastAsiaTheme="minorEastAsia"/>
          <w:b/>
          <w:bCs/>
          <w:sz w:val="32"/>
          <w:szCs w:val="32"/>
        </w:rPr>
      </w:pPr>
    </w:p>
    <w:p>
      <w:pPr>
        <w:spacing w:line="360" w:lineRule="auto"/>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t>2020</w:t>
      </w:r>
      <w:r>
        <w:rPr>
          <w:rFonts w:asciiTheme="minorEastAsia" w:hAnsiTheme="minorEastAsia" w:eastAsiaTheme="minorEastAsia"/>
          <w:b/>
          <w:bCs/>
          <w:spacing w:val="-51"/>
          <w:sz w:val="32"/>
          <w:szCs w:val="32"/>
        </w:rPr>
        <w:t xml:space="preserve">年 </w:t>
      </w:r>
      <w:r>
        <w:rPr>
          <w:rFonts w:hint="eastAsia" w:asciiTheme="minorEastAsia" w:hAnsiTheme="minorEastAsia" w:eastAsiaTheme="minorEastAsia"/>
          <w:b/>
          <w:bCs/>
          <w:sz w:val="32"/>
          <w:szCs w:val="32"/>
        </w:rPr>
        <w:t>8</w:t>
      </w:r>
      <w:r>
        <w:rPr>
          <w:rFonts w:asciiTheme="minorEastAsia" w:hAnsiTheme="minorEastAsia" w:eastAsiaTheme="minorEastAsia"/>
          <w:b/>
          <w:bCs/>
          <w:spacing w:val="-37"/>
          <w:sz w:val="32"/>
          <w:szCs w:val="32"/>
        </w:rPr>
        <w:t>月</w:t>
      </w:r>
    </w:p>
    <w:p/>
    <w:p>
      <w:pPr>
        <w:tabs>
          <w:tab w:val="left" w:pos="5882"/>
        </w:tabs>
        <w:sectPr>
          <w:headerReference r:id="rId3" w:type="default"/>
          <w:footerReference r:id="rId4" w:type="default"/>
          <w:type w:val="continuous"/>
          <w:pgSz w:w="11910" w:h="16840"/>
          <w:pgMar w:top="1440" w:right="1800" w:bottom="1440" w:left="1800" w:header="884" w:footer="720" w:gutter="0"/>
          <w:cols w:space="720" w:num="1"/>
          <w:docGrid w:linePitch="299" w:charSpace="0"/>
        </w:sectPr>
      </w:pPr>
      <w:r>
        <w:tab/>
      </w:r>
    </w:p>
    <w:p>
      <w:pPr>
        <w:pStyle w:val="9"/>
        <w:rPr>
          <w:b/>
          <w:sz w:val="20"/>
        </w:rPr>
      </w:pPr>
    </w:p>
    <w:p>
      <w:pPr>
        <w:pStyle w:val="9"/>
        <w:rPr>
          <w:b/>
          <w:sz w:val="20"/>
        </w:rPr>
      </w:pPr>
    </w:p>
    <w:p>
      <w:pPr>
        <w:pStyle w:val="9"/>
        <w:rPr>
          <w:b/>
          <w:sz w:val="20"/>
        </w:rPr>
      </w:pPr>
    </w:p>
    <w:p>
      <w:pPr>
        <w:pStyle w:val="9"/>
        <w:jc w:val="center"/>
        <w:rPr>
          <w:b/>
          <w:sz w:val="32"/>
          <w:szCs w:val="32"/>
        </w:rPr>
      </w:pPr>
      <w:r>
        <w:rPr>
          <w:rFonts w:hint="eastAsia"/>
          <w:b/>
          <w:sz w:val="32"/>
          <w:szCs w:val="32"/>
        </w:rPr>
        <w:t>目录</w:t>
      </w:r>
    </w:p>
    <w:p>
      <w:pPr>
        <w:pStyle w:val="9"/>
        <w:rPr>
          <w:b/>
          <w:sz w:val="20"/>
        </w:rPr>
      </w:pPr>
    </w:p>
    <w:p>
      <w:pPr>
        <w:pStyle w:val="9"/>
        <w:rPr>
          <w:b/>
          <w:sz w:val="20"/>
        </w:rPr>
      </w:pPr>
    </w:p>
    <w:p>
      <w:pPr>
        <w:pStyle w:val="17"/>
        <w:tabs>
          <w:tab w:val="right" w:leader="dot" w:pos="8800"/>
        </w:tabs>
        <w:spacing w:line="360" w:lineRule="auto"/>
        <w:rPr>
          <w:rFonts w:asciiTheme="minorEastAsia" w:hAnsiTheme="minorEastAsia" w:eastAsiaTheme="minorEastAsia" w:cstheme="minorBidi"/>
          <w:b w:val="0"/>
          <w:bCs w:val="0"/>
          <w:caps w:val="0"/>
          <w:kern w:val="2"/>
          <w:sz w:val="24"/>
          <w:szCs w:val="24"/>
          <w:lang w:val="en-US" w:bidi="ar-SA"/>
        </w:rPr>
      </w:pPr>
      <w:r>
        <w:rPr>
          <w:rFonts w:ascii="Calibri"/>
          <w:sz w:val="32"/>
        </w:rPr>
        <w:fldChar w:fldCharType="begin"/>
      </w:r>
      <w:r>
        <w:rPr>
          <w:rFonts w:ascii="Calibri"/>
          <w:sz w:val="32"/>
        </w:rPr>
        <w:instrText xml:space="preserve"> TOC \o "1-3" \h \z \u </w:instrText>
      </w:r>
      <w:r>
        <w:rPr>
          <w:rFonts w:ascii="Calibri"/>
          <w:sz w:val="32"/>
        </w:rPr>
        <w:fldChar w:fldCharType="separate"/>
      </w:r>
      <w:r>
        <w:fldChar w:fldCharType="begin"/>
      </w:r>
      <w:r>
        <w:instrText xml:space="preserve"> HYPERLINK \l "_Toc47446811" </w:instrText>
      </w:r>
      <w:r>
        <w:fldChar w:fldCharType="separate"/>
      </w:r>
      <w:r>
        <w:rPr>
          <w:rStyle w:val="25"/>
          <w:rFonts w:asciiTheme="minorEastAsia" w:hAnsiTheme="minorEastAsia" w:eastAsiaTheme="minorEastAsia"/>
          <w:sz w:val="24"/>
          <w:szCs w:val="24"/>
        </w:rPr>
        <w:t>2020 年第一次临时股东大会会议资料</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_Toc47446811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0"/>
        <w:tabs>
          <w:tab w:val="right" w:leader="dot" w:pos="8800"/>
        </w:tabs>
        <w:spacing w:line="360" w:lineRule="auto"/>
        <w:rPr>
          <w:rFonts w:asciiTheme="minorEastAsia" w:hAnsiTheme="minorEastAsia" w:eastAsiaTheme="minorEastAsia" w:cstheme="minorBidi"/>
          <w:smallCaps w:val="0"/>
          <w:kern w:val="2"/>
          <w:sz w:val="24"/>
          <w:szCs w:val="24"/>
          <w:lang w:val="en-US" w:bidi="ar-SA"/>
        </w:rPr>
      </w:pPr>
      <w:r>
        <w:fldChar w:fldCharType="begin"/>
      </w:r>
      <w:r>
        <w:instrText xml:space="preserve"> HYPERLINK \l "_Toc47446812" </w:instrText>
      </w:r>
      <w:r>
        <w:fldChar w:fldCharType="separate"/>
      </w:r>
      <w:r>
        <w:rPr>
          <w:rStyle w:val="25"/>
          <w:rFonts w:asciiTheme="minorEastAsia" w:hAnsiTheme="minorEastAsia" w:eastAsiaTheme="minorEastAsia"/>
          <w:b/>
          <w:bCs/>
          <w:sz w:val="24"/>
          <w:szCs w:val="24"/>
        </w:rPr>
        <w:t>2020 年第一次临时股东大会会议须知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_Toc47446812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0"/>
        <w:tabs>
          <w:tab w:val="right" w:leader="dot" w:pos="8800"/>
        </w:tabs>
        <w:spacing w:line="360" w:lineRule="auto"/>
        <w:rPr>
          <w:rFonts w:asciiTheme="minorEastAsia" w:hAnsiTheme="minorEastAsia" w:eastAsiaTheme="minorEastAsia" w:cstheme="minorBidi"/>
          <w:smallCaps w:val="0"/>
          <w:kern w:val="2"/>
          <w:sz w:val="24"/>
          <w:szCs w:val="24"/>
          <w:lang w:val="en-US" w:bidi="ar-SA"/>
        </w:rPr>
      </w:pPr>
      <w:r>
        <w:fldChar w:fldCharType="begin"/>
      </w:r>
      <w:r>
        <w:instrText xml:space="preserve"> HYPERLINK \l "_Toc47446813" </w:instrText>
      </w:r>
      <w:r>
        <w:fldChar w:fldCharType="separate"/>
      </w:r>
      <w:r>
        <w:rPr>
          <w:rStyle w:val="25"/>
          <w:rFonts w:asciiTheme="minorEastAsia" w:hAnsiTheme="minorEastAsia" w:eastAsiaTheme="minorEastAsia"/>
          <w:b/>
          <w:sz w:val="24"/>
          <w:szCs w:val="24"/>
        </w:rPr>
        <w:t>2020 年第一次临时股东大会会议议程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_Toc47446813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800"/>
        </w:tabs>
        <w:spacing w:line="360" w:lineRule="auto"/>
        <w:rPr>
          <w:rFonts w:asciiTheme="minorEastAsia" w:hAnsiTheme="minorEastAsia" w:eastAsiaTheme="minorEastAsia" w:cstheme="minorBidi"/>
          <w:i w:val="0"/>
          <w:iCs w:val="0"/>
          <w:kern w:val="2"/>
          <w:sz w:val="24"/>
          <w:szCs w:val="24"/>
          <w:lang w:val="en-US" w:bidi="ar-SA"/>
        </w:rPr>
      </w:pPr>
      <w:r>
        <w:fldChar w:fldCharType="begin"/>
      </w:r>
      <w:r>
        <w:instrText xml:space="preserve"> HYPERLINK \l "_Toc47446814" </w:instrText>
      </w:r>
      <w:r>
        <w:fldChar w:fldCharType="separate"/>
      </w:r>
      <w:r>
        <w:rPr>
          <w:rStyle w:val="25"/>
          <w:rFonts w:asciiTheme="minorEastAsia" w:hAnsiTheme="minorEastAsia" w:eastAsiaTheme="minorEastAsia"/>
          <w:b/>
          <w:bCs/>
          <w:sz w:val="24"/>
          <w:szCs w:val="24"/>
        </w:rPr>
        <w:t>议案一：关于增加公司注册资本及变更公司类型的议案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_Toc47446814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800"/>
        </w:tabs>
        <w:spacing w:line="360" w:lineRule="auto"/>
        <w:rPr>
          <w:rFonts w:asciiTheme="minorEastAsia" w:hAnsiTheme="minorEastAsia" w:eastAsiaTheme="minorEastAsia" w:cstheme="minorBidi"/>
          <w:i w:val="0"/>
          <w:iCs w:val="0"/>
          <w:kern w:val="2"/>
          <w:sz w:val="24"/>
          <w:szCs w:val="24"/>
          <w:lang w:val="en-US" w:bidi="ar-SA"/>
        </w:rPr>
      </w:pPr>
      <w:r>
        <w:fldChar w:fldCharType="begin"/>
      </w:r>
      <w:r>
        <w:instrText xml:space="preserve"> HYPERLINK \l "_Toc47446815" </w:instrText>
      </w:r>
      <w:r>
        <w:fldChar w:fldCharType="separate"/>
      </w:r>
      <w:r>
        <w:rPr>
          <w:rStyle w:val="25"/>
          <w:rFonts w:asciiTheme="minorEastAsia" w:hAnsiTheme="minorEastAsia" w:eastAsiaTheme="minorEastAsia"/>
          <w:b/>
          <w:bCs/>
          <w:sz w:val="24"/>
          <w:szCs w:val="24"/>
        </w:rPr>
        <w:t>议案二：关于修订《埃夫特智能装备股份有限公司章程》部分条款的议案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_Toc47446815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800"/>
        </w:tabs>
        <w:spacing w:line="360" w:lineRule="auto"/>
        <w:rPr>
          <w:rFonts w:asciiTheme="minorEastAsia" w:hAnsiTheme="minorEastAsia" w:eastAsiaTheme="minorEastAsia" w:cstheme="minorBidi"/>
          <w:i w:val="0"/>
          <w:iCs w:val="0"/>
          <w:kern w:val="2"/>
          <w:sz w:val="24"/>
          <w:szCs w:val="24"/>
          <w:lang w:val="en-US" w:bidi="ar-SA"/>
        </w:rPr>
      </w:pPr>
      <w:r>
        <w:fldChar w:fldCharType="begin"/>
      </w:r>
      <w:r>
        <w:instrText xml:space="preserve"> HYPERLINK \l "_Toc47446816" </w:instrText>
      </w:r>
      <w:r>
        <w:fldChar w:fldCharType="separate"/>
      </w:r>
      <w:r>
        <w:rPr>
          <w:rStyle w:val="25"/>
          <w:rFonts w:asciiTheme="minorEastAsia" w:hAnsiTheme="minorEastAsia" w:eastAsiaTheme="minorEastAsia"/>
          <w:b/>
          <w:bCs/>
          <w:sz w:val="24"/>
          <w:szCs w:val="24"/>
        </w:rPr>
        <w:t>议案三：关于募投项目金额调整的议案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_Toc47446816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9"/>
        <w:rPr>
          <w:rFonts w:ascii="Calibri"/>
          <w:sz w:val="32"/>
        </w:rPr>
      </w:pPr>
      <w:r>
        <w:rPr>
          <w:rFonts w:ascii="Calibri"/>
          <w:sz w:val="32"/>
        </w:rPr>
        <w:fldChar w:fldCharType="end"/>
      </w:r>
    </w:p>
    <w:p>
      <w:pPr>
        <w:pStyle w:val="17"/>
        <w:tabs>
          <w:tab w:val="right" w:leader="dot" w:pos="8800"/>
        </w:tabs>
        <w:rPr>
          <w:rFonts w:ascii="Calibri"/>
          <w:sz w:val="32"/>
        </w:rPr>
      </w:pPr>
      <w:r>
        <w:rPr>
          <w:rFonts w:ascii="Calibri"/>
          <w:sz w:val="32"/>
        </w:rPr>
        <w:fldChar w:fldCharType="begin"/>
      </w:r>
      <w:r>
        <w:rPr>
          <w:rFonts w:ascii="Calibri"/>
          <w:sz w:val="32"/>
        </w:rPr>
        <w:instrText xml:space="preserve"> TOC \o "1-3" \f \h \z \u </w:instrText>
      </w:r>
      <w:r>
        <w:rPr>
          <w:rFonts w:ascii="Calibri"/>
          <w:sz w:val="32"/>
        </w:rPr>
        <w:fldChar w:fldCharType="end"/>
      </w: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rPr>
          <w:rFonts w:ascii="Calibri"/>
          <w:sz w:val="32"/>
        </w:rPr>
      </w:pPr>
    </w:p>
    <w:p>
      <w:pPr>
        <w:pStyle w:val="9"/>
        <w:spacing w:before="5"/>
        <w:rPr>
          <w:rFonts w:ascii="Calibri"/>
          <w:sz w:val="27"/>
        </w:rPr>
      </w:pPr>
    </w:p>
    <w:p>
      <w:pPr>
        <w:ind w:left="140"/>
        <w:rPr>
          <w:sz w:val="32"/>
        </w:rPr>
      </w:pPr>
      <w:r>
        <w:rPr>
          <w:w w:val="99"/>
          <w:sz w:val="32"/>
        </w:rPr>
        <w:t xml:space="preserve"> </w:t>
      </w:r>
    </w:p>
    <w:p>
      <w:pPr>
        <w:rPr>
          <w:sz w:val="32"/>
        </w:rPr>
        <w:sectPr>
          <w:pgSz w:w="11910" w:h="16840"/>
          <w:pgMar w:top="1440" w:right="1800" w:bottom="1440" w:left="1800" w:header="884" w:footer="0" w:gutter="0"/>
          <w:cols w:space="720" w:num="1"/>
          <w:docGrid w:linePitch="299" w:charSpace="0"/>
        </w:sectPr>
      </w:pPr>
    </w:p>
    <w:p>
      <w:pPr>
        <w:pStyle w:val="9"/>
        <w:spacing w:before="5"/>
        <w:rPr>
          <w:sz w:val="25"/>
        </w:rPr>
      </w:pPr>
    </w:p>
    <w:p>
      <w:pPr>
        <w:spacing w:line="360" w:lineRule="auto"/>
        <w:jc w:val="center"/>
        <w:outlineLvl w:val="1"/>
        <w:rPr>
          <w:b/>
          <w:bCs/>
          <w:sz w:val="26"/>
        </w:rPr>
      </w:pPr>
      <w:bookmarkStart w:id="2" w:name="_Toc47446812"/>
      <w:bookmarkStart w:id="3" w:name="_Toc47446719"/>
      <w:r>
        <w:rPr>
          <w:rFonts w:asciiTheme="majorEastAsia" w:hAnsiTheme="majorEastAsia" w:eastAsiaTheme="majorEastAsia"/>
          <w:b/>
          <w:bCs/>
          <w:sz w:val="36"/>
          <w:szCs w:val="36"/>
        </w:rPr>
        <w:t>2020 年第一次临时股东大会会议须知</w:t>
      </w:r>
      <w:bookmarkEnd w:id="2"/>
      <w:bookmarkEnd w:id="3"/>
    </w:p>
    <w:p>
      <w:pPr>
        <w:pStyle w:val="9"/>
        <w:spacing w:before="9"/>
        <w:rPr>
          <w:sz w:val="29"/>
        </w:rPr>
      </w:pPr>
    </w:p>
    <w:p>
      <w:pPr>
        <w:pStyle w:val="9"/>
        <w:spacing w:line="360" w:lineRule="auto"/>
        <w:ind w:firstLine="480" w:firstLineChars="200"/>
        <w:jc w:val="both"/>
      </w:pPr>
      <w:r>
        <w:t>为了维护全体股东的合法权益，确保股东大会的正常秩序和议事效率，保证</w:t>
      </w:r>
      <w:r>
        <w:rPr>
          <w:spacing w:val="-7"/>
        </w:rPr>
        <w:t>股东大会的顺利进行，根据《中华人民共和国公司法</w:t>
      </w:r>
      <w:r>
        <w:rPr>
          <w:spacing w:val="-15"/>
        </w:rPr>
        <w:t>》《中华人民共和国证券法》</w:t>
      </w:r>
      <w:r>
        <w:t>《上市公司股东大会规则（2016 年修订</w:t>
      </w:r>
      <w:r>
        <w:rPr>
          <w:spacing w:val="-120"/>
        </w:rPr>
        <w:t>）</w:t>
      </w:r>
      <w:r>
        <w:t>》以及《埃夫特智能装备股份有限公司章程</w:t>
      </w:r>
      <w:r>
        <w:rPr>
          <w:rFonts w:hint="eastAsia"/>
        </w:rPr>
        <w:t>（草案）》</w:t>
      </w:r>
      <w:r>
        <w:rPr>
          <w:spacing w:val="-2"/>
        </w:rPr>
        <w:t xml:space="preserve">《埃夫特智能装备股份有限公司股东大会议事规则》等相关规定，特制定 </w:t>
      </w:r>
      <w:r>
        <w:t>2020</w:t>
      </w:r>
      <w:r>
        <w:rPr>
          <w:spacing w:val="-19"/>
        </w:rPr>
        <w:t xml:space="preserve"> 年第</w:t>
      </w:r>
      <w:r>
        <w:rPr>
          <w:rFonts w:hint="eastAsia"/>
          <w:spacing w:val="-19"/>
        </w:rPr>
        <w:t>一</w:t>
      </w:r>
      <w:r>
        <w:t xml:space="preserve">次临时股东大会会议须知： </w:t>
      </w:r>
    </w:p>
    <w:p>
      <w:pPr>
        <w:pStyle w:val="9"/>
        <w:spacing w:line="360" w:lineRule="auto"/>
        <w:ind w:firstLine="440" w:firstLineChars="200"/>
        <w:jc w:val="both"/>
      </w:pPr>
      <w:r>
        <w:rPr>
          <w:spacing w:val="-10"/>
        </w:rPr>
        <w:t>一、为确认出席大会的股东或其代理人或其他出席者的出席资格，会议工作</w:t>
      </w:r>
      <w:r>
        <w:t xml:space="preserve">人员将对出席会议者的身份进行必要的核对工作，请被核对者给予配合。 </w:t>
      </w:r>
    </w:p>
    <w:p>
      <w:pPr>
        <w:pStyle w:val="9"/>
        <w:spacing w:line="360" w:lineRule="auto"/>
        <w:ind w:firstLine="480" w:firstLineChars="200"/>
        <w:jc w:val="both"/>
      </w:pPr>
      <w:r>
        <w:t>出席会议的股东及股东代理人须在会议召开前 30 分钟到会议现场办理签</w:t>
      </w:r>
      <w:r>
        <w:rPr>
          <w:spacing w:val="-10"/>
        </w:rPr>
        <w:t>到手续，并请按规定出示证券账户卡、身份证明文件或法人单位证明、授权委托</w:t>
      </w:r>
      <w:r>
        <w:t xml:space="preserve">书等，经验证后方可出席会议。 </w:t>
      </w:r>
    </w:p>
    <w:p>
      <w:pPr>
        <w:pStyle w:val="9"/>
        <w:spacing w:line="360" w:lineRule="auto"/>
        <w:ind w:firstLine="444" w:firstLineChars="200"/>
        <w:jc w:val="both"/>
      </w:pPr>
      <w:r>
        <w:rPr>
          <w:spacing w:val="-9"/>
        </w:rPr>
        <w:t>二、为保证本次大会的严肃性和正常秩序，切实维护与会股东</w:t>
      </w:r>
      <w:r>
        <w:t>（</w:t>
      </w:r>
      <w:r>
        <w:rPr>
          <w:spacing w:val="-3"/>
        </w:rPr>
        <w:t>或股东代理</w:t>
      </w:r>
      <w:r>
        <w:t>人</w:t>
      </w:r>
      <w:r>
        <w:rPr>
          <w:spacing w:val="-48"/>
        </w:rPr>
        <w:t>）</w:t>
      </w:r>
      <w:r>
        <w:rPr>
          <w:spacing w:val="-8"/>
        </w:rPr>
        <w:t>的合法权益，务请出席大会的股东或其代理人或其他出席者准时到达会场签</w:t>
      </w:r>
      <w:r>
        <w:t xml:space="preserve">到确认参会资格。会议开始后，会议登记终止。 </w:t>
      </w:r>
    </w:p>
    <w:p>
      <w:pPr>
        <w:pStyle w:val="9"/>
        <w:spacing w:line="360" w:lineRule="auto"/>
        <w:ind w:firstLine="480" w:firstLineChars="200"/>
        <w:jc w:val="both"/>
      </w:pPr>
      <w:r>
        <w:t xml:space="preserve">三、会议按照会议通知上所列顺序审议、表决议案。 </w:t>
      </w:r>
    </w:p>
    <w:p>
      <w:pPr>
        <w:pStyle w:val="9"/>
        <w:spacing w:line="360" w:lineRule="auto"/>
        <w:ind w:firstLine="440" w:firstLineChars="200"/>
        <w:jc w:val="both"/>
      </w:pPr>
      <w:r>
        <w:rPr>
          <w:spacing w:val="-10"/>
        </w:rPr>
        <w:t>四、股东及股东代理人参加股东大会依法享有发言权、质询权、表决权等权利。股东及股东代理人参加股东大会应认真履行其法定义务，不得侵犯公司和其</w:t>
      </w:r>
      <w:r>
        <w:t xml:space="preserve">他股东及股东代理人的合法权益，不得扰乱股东大会的正常秩序。 </w:t>
      </w:r>
    </w:p>
    <w:p>
      <w:pPr>
        <w:pStyle w:val="9"/>
        <w:spacing w:line="360" w:lineRule="auto"/>
        <w:ind w:firstLine="444" w:firstLineChars="200"/>
        <w:jc w:val="both"/>
      </w:pPr>
      <w:r>
        <w:rPr>
          <w:spacing w:val="-9"/>
        </w:rPr>
        <w:t>五、要求发言的股东及股东代理人，应当按照会议的议程，举手示意并经会</w:t>
      </w:r>
      <w:r>
        <w:rPr>
          <w:spacing w:val="-10"/>
        </w:rPr>
        <w:t>议主持人许可后发言。股东及股东代理人发言或提问应围绕本次会议议案进行</w:t>
      </w:r>
      <w:r>
        <w:rPr>
          <w:rFonts w:hint="eastAsia"/>
          <w:spacing w:val="-10"/>
        </w:rPr>
        <w:t>，</w:t>
      </w:r>
      <w:r>
        <w:t>简明扼要，时间不超过</w:t>
      </w:r>
      <w:r>
        <w:rPr>
          <w:rFonts w:hint="eastAsia"/>
        </w:rPr>
        <w:t xml:space="preserve"> </w:t>
      </w:r>
      <w:r>
        <w:t xml:space="preserve">5 分钟。 </w:t>
      </w:r>
    </w:p>
    <w:p>
      <w:pPr>
        <w:pStyle w:val="9"/>
        <w:spacing w:line="360" w:lineRule="auto"/>
        <w:ind w:firstLine="440" w:firstLineChars="200"/>
        <w:jc w:val="both"/>
      </w:pPr>
      <w:r>
        <w:rPr>
          <w:spacing w:val="-10"/>
        </w:rPr>
        <w:t>六、股东及股东代理人要求发言时，不得打断会议报告人的报告或其他股东</w:t>
      </w:r>
      <w:r>
        <w:rPr>
          <w:spacing w:val="-20"/>
        </w:rPr>
        <w:t>及股东代理人的发言，在股东大会进行表决时，股东及股东代理人不再进行发言。</w:t>
      </w:r>
      <w:r>
        <w:t xml:space="preserve">股东及股东代理人违反上述规定，会议主持人有权加以拒绝或制止。 </w:t>
      </w:r>
    </w:p>
    <w:p>
      <w:pPr>
        <w:pStyle w:val="9"/>
        <w:spacing w:line="360" w:lineRule="auto"/>
        <w:ind w:firstLine="436" w:firstLineChars="200"/>
        <w:jc w:val="both"/>
      </w:pPr>
      <w:r>
        <w:rPr>
          <w:spacing w:val="-11"/>
        </w:rPr>
        <w:t>七、主持人可安排公司董事、监事、高级管理人员回答股东所提问题。对于</w:t>
      </w:r>
      <w:r>
        <w:rPr>
          <w:spacing w:val="-6"/>
        </w:rPr>
        <w:t>可能将泄露公司商业秘密或内幕信息，损害公司、股东共同利益的提问，主持人</w:t>
      </w:r>
      <w:r>
        <w:t>或其指定的有关人员有权拒绝回答。</w:t>
      </w:r>
    </w:p>
    <w:p>
      <w:pPr>
        <w:pStyle w:val="9"/>
        <w:spacing w:line="360" w:lineRule="auto"/>
        <w:ind w:firstLine="480" w:firstLineChars="200"/>
        <w:jc w:val="both"/>
        <w:rPr>
          <w:spacing w:val="-6"/>
        </w:rPr>
      </w:pPr>
      <w:r>
        <w:t>八、出席股东大会的股东及股东代理人，应当对提交表决的议案发表如下意</w:t>
      </w:r>
      <w:r>
        <w:rPr>
          <w:spacing w:val="-11"/>
        </w:rPr>
        <w:t>见之一：同意、反对或弃权。现场出席的股东请务必在表决票上签署股东名称或姓名。未填、错填、字迹无法辨认的表决票、未投的表决票均视为投票人放弃表</w:t>
      </w:r>
      <w:r>
        <w:rPr>
          <w:spacing w:val="-6"/>
        </w:rPr>
        <w:t xml:space="preserve">决权利，其所持股份的表决结果计为“弃权”。 </w:t>
      </w:r>
    </w:p>
    <w:p>
      <w:pPr>
        <w:pStyle w:val="9"/>
        <w:spacing w:line="360" w:lineRule="auto"/>
        <w:ind w:firstLine="456" w:firstLineChars="200"/>
        <w:jc w:val="both"/>
        <w:rPr>
          <w:rFonts w:hint="eastAsia" w:eastAsia="宋体"/>
          <w:spacing w:val="-6"/>
          <w:lang w:val="en-US" w:eastAsia="zh-CN"/>
        </w:rPr>
      </w:pPr>
      <w:r>
        <w:rPr>
          <w:rFonts w:hint="eastAsia"/>
          <w:spacing w:val="-6"/>
          <w:lang w:val="en-US" w:eastAsia="zh-CN"/>
        </w:rPr>
        <w:t>九、本次大会表决票清点工作由四人参加，由出席会议的股东推选两名股东代表、一名监事和一名律师组成，负责计票、监票。</w:t>
      </w:r>
    </w:p>
    <w:p>
      <w:pPr>
        <w:pStyle w:val="9"/>
        <w:spacing w:line="360" w:lineRule="auto"/>
        <w:ind w:firstLine="440" w:firstLineChars="200"/>
        <w:jc w:val="both"/>
      </w:pPr>
      <w:r>
        <w:rPr>
          <w:rFonts w:hint="eastAsia"/>
          <w:spacing w:val="-10"/>
          <w:lang w:val="en-US" w:eastAsia="zh-CN"/>
        </w:rPr>
        <w:t>十</w:t>
      </w:r>
      <w:r>
        <w:rPr>
          <w:spacing w:val="-10"/>
        </w:rPr>
        <w:t>、本次股东大会采取现场投票和网络投票相结合的方式表决，结合现场投</w:t>
      </w:r>
      <w:r>
        <w:t xml:space="preserve">票和网络投票的表决结果发布股东大会决议公告。 </w:t>
      </w:r>
    </w:p>
    <w:p>
      <w:pPr>
        <w:pStyle w:val="9"/>
        <w:spacing w:line="360" w:lineRule="auto"/>
        <w:ind w:firstLine="408" w:firstLineChars="200"/>
        <w:jc w:val="both"/>
      </w:pPr>
      <w:r>
        <w:rPr>
          <w:spacing w:val="-18"/>
        </w:rPr>
        <w:t>十</w:t>
      </w:r>
      <w:r>
        <w:rPr>
          <w:rFonts w:hint="eastAsia"/>
          <w:spacing w:val="-18"/>
          <w:lang w:val="en-US" w:eastAsia="zh-CN"/>
        </w:rPr>
        <w:t>一</w:t>
      </w:r>
      <w:r>
        <w:rPr>
          <w:spacing w:val="-18"/>
        </w:rPr>
        <w:t>、为保证股东大会的严肃性和正常秩序，除出席会议的股东及股东代理人、</w:t>
      </w:r>
      <w:r>
        <w:rPr>
          <w:spacing w:val="-11"/>
        </w:rPr>
        <w:t xml:space="preserve">公司董事、监事、高管人员、聘任律师及董事会邀请的人员外，公司有权依法拒绝其他人员进入会场。 </w:t>
      </w:r>
    </w:p>
    <w:p>
      <w:pPr>
        <w:pStyle w:val="9"/>
        <w:spacing w:line="360" w:lineRule="auto"/>
        <w:ind w:firstLine="432" w:firstLineChars="200"/>
        <w:jc w:val="both"/>
      </w:pPr>
      <w:r>
        <w:rPr>
          <w:spacing w:val="-12"/>
        </w:rPr>
        <w:t>十</w:t>
      </w:r>
      <w:r>
        <w:rPr>
          <w:rFonts w:hint="eastAsia"/>
          <w:spacing w:val="-12"/>
          <w:lang w:val="en-US" w:eastAsia="zh-CN"/>
        </w:rPr>
        <w:t>二</w:t>
      </w:r>
      <w:r>
        <w:rPr>
          <w:spacing w:val="-12"/>
        </w:rPr>
        <w:t>、本次会议由公司聘请的律师事务所执业律师现场见证并出具法律意见</w:t>
      </w:r>
      <w:r>
        <w:t xml:space="preserve">书。 </w:t>
      </w:r>
    </w:p>
    <w:p>
      <w:pPr>
        <w:pStyle w:val="9"/>
        <w:spacing w:line="360" w:lineRule="auto"/>
        <w:ind w:firstLine="408" w:firstLineChars="200"/>
        <w:jc w:val="both"/>
      </w:pPr>
      <w:r>
        <w:rPr>
          <w:spacing w:val="-18"/>
        </w:rPr>
        <w:t>十</w:t>
      </w:r>
      <w:r>
        <w:rPr>
          <w:rFonts w:hint="eastAsia"/>
          <w:spacing w:val="-18"/>
          <w:lang w:val="en-US" w:eastAsia="zh-CN"/>
        </w:rPr>
        <w:t>三</w:t>
      </w:r>
      <w:r>
        <w:rPr>
          <w:spacing w:val="-18"/>
        </w:rPr>
        <w:t xml:space="preserve">、为保证每位参会股东的权益，开会期间参会人员应注意维护会场秩序， </w:t>
      </w:r>
      <w:r>
        <w:rPr>
          <w:spacing w:val="-8"/>
        </w:rPr>
        <w:t>不要随意走动，手机调整为静音状态，谢绝个人录音、录像及拍照。对干扰会议</w:t>
      </w:r>
      <w:r>
        <w:rPr>
          <w:spacing w:val="-11"/>
        </w:rPr>
        <w:t xml:space="preserve">正常程序、寻衅滋事或侵犯其他股东合法权益的行为，会议工作人员有权予以制止，并报告有关部门处理。 </w:t>
      </w:r>
    </w:p>
    <w:p>
      <w:pPr>
        <w:pStyle w:val="9"/>
        <w:spacing w:line="360" w:lineRule="auto"/>
        <w:ind w:firstLine="440" w:firstLineChars="200"/>
        <w:jc w:val="both"/>
      </w:pPr>
      <w:r>
        <w:rPr>
          <w:spacing w:val="-10"/>
        </w:rPr>
        <w:t>十</w:t>
      </w:r>
      <w:r>
        <w:rPr>
          <w:rFonts w:hint="eastAsia"/>
          <w:spacing w:val="-10"/>
          <w:lang w:val="en-US" w:eastAsia="zh-CN"/>
        </w:rPr>
        <w:t>四</w:t>
      </w:r>
      <w:r>
        <w:rPr>
          <w:spacing w:val="-10"/>
        </w:rPr>
        <w:t>、股东出席本次股东大会所产生的费用由股东自行承担。本公司不向参</w:t>
      </w:r>
      <w:r>
        <w:rPr>
          <w:spacing w:val="-7"/>
        </w:rPr>
        <w:t>加股东大会的股东发放礼品，不负责安排参加股东大会股东的住宿等事项，以平</w:t>
      </w:r>
      <w:r>
        <w:t xml:space="preserve">等原则对待所有股东。 </w:t>
      </w:r>
    </w:p>
    <w:p>
      <w:pPr>
        <w:pStyle w:val="9"/>
        <w:spacing w:line="360" w:lineRule="auto"/>
        <w:ind w:firstLine="480" w:firstLineChars="200"/>
        <w:jc w:val="both"/>
      </w:pPr>
      <w:r>
        <w:t>十</w:t>
      </w:r>
      <w:r>
        <w:rPr>
          <w:rFonts w:hint="eastAsia"/>
          <w:lang w:val="en-US" w:eastAsia="zh-CN"/>
        </w:rPr>
        <w:t>五</w:t>
      </w:r>
      <w:r>
        <w:t xml:space="preserve">、本次股东大会登记方法及表决方式的具体内容，请参见公司于 2020 年 7 月 </w:t>
      </w:r>
      <w:r>
        <w:rPr>
          <w:rFonts w:hint="eastAsia"/>
        </w:rPr>
        <w:t>31</w:t>
      </w:r>
      <w:r>
        <w:t xml:space="preserve"> 日披露于上海证券交易所网站的《埃夫特智能装备股份有限公司关于召开2020</w:t>
      </w:r>
      <w:r>
        <w:rPr>
          <w:spacing w:val="-16"/>
        </w:rPr>
        <w:t xml:space="preserve"> 年第</w:t>
      </w:r>
      <w:r>
        <w:rPr>
          <w:rFonts w:hint="eastAsia"/>
          <w:spacing w:val="-16"/>
        </w:rPr>
        <w:t>一</w:t>
      </w:r>
      <w:r>
        <w:rPr>
          <w:spacing w:val="-16"/>
        </w:rPr>
        <w:t>次临时股东大会的通知》</w:t>
      </w:r>
      <w:r>
        <w:t>（公告编号：2020-00</w:t>
      </w:r>
      <w:r>
        <w:rPr>
          <w:rFonts w:hint="eastAsia"/>
        </w:rPr>
        <w:t>4</w:t>
      </w:r>
      <w:r>
        <w:rPr>
          <w:spacing w:val="-120"/>
        </w:rPr>
        <w:t>）</w:t>
      </w:r>
      <w:r>
        <w:t xml:space="preserve">。 </w:t>
      </w:r>
    </w:p>
    <w:p>
      <w:pPr>
        <w:spacing w:line="364" w:lineRule="auto"/>
        <w:sectPr>
          <w:pgSz w:w="11910" w:h="16840"/>
          <w:pgMar w:top="1440" w:right="1800" w:bottom="1440" w:left="1800" w:header="884" w:footer="0" w:gutter="0"/>
          <w:cols w:space="720" w:num="1"/>
          <w:docGrid w:linePitch="299" w:charSpace="0"/>
        </w:sectPr>
      </w:pPr>
    </w:p>
    <w:p>
      <w:pPr>
        <w:pStyle w:val="9"/>
        <w:spacing w:before="6"/>
        <w:rPr>
          <w:b/>
          <w:sz w:val="22"/>
        </w:rPr>
      </w:pPr>
    </w:p>
    <w:p>
      <w:pPr>
        <w:spacing w:line="360" w:lineRule="auto"/>
        <w:jc w:val="center"/>
        <w:outlineLvl w:val="1"/>
        <w:rPr>
          <w:rFonts w:asciiTheme="majorEastAsia" w:hAnsiTheme="majorEastAsia" w:eastAsiaTheme="majorEastAsia"/>
          <w:b/>
          <w:sz w:val="36"/>
          <w:szCs w:val="36"/>
        </w:rPr>
      </w:pPr>
      <w:bookmarkStart w:id="4" w:name="_Toc47446813"/>
      <w:bookmarkStart w:id="5" w:name="_Toc47446720"/>
      <w:r>
        <w:rPr>
          <w:rFonts w:asciiTheme="majorEastAsia" w:hAnsiTheme="majorEastAsia" w:eastAsiaTheme="majorEastAsia"/>
          <w:b/>
          <w:sz w:val="36"/>
          <w:szCs w:val="36"/>
        </w:rPr>
        <w:t>2020 年第一次临时股东大会会议议程</w:t>
      </w:r>
      <w:bookmarkEnd w:id="4"/>
      <w:bookmarkEnd w:id="5"/>
    </w:p>
    <w:p>
      <w:pPr>
        <w:pStyle w:val="9"/>
        <w:spacing w:before="9"/>
        <w:rPr>
          <w:b/>
          <w:sz w:val="29"/>
        </w:rPr>
      </w:pPr>
    </w:p>
    <w:p>
      <w:pPr>
        <w:pStyle w:val="9"/>
        <w:spacing w:line="360" w:lineRule="auto"/>
        <w:ind w:firstLine="480" w:firstLineChars="200"/>
        <w:jc w:val="both"/>
      </w:pPr>
      <w:r>
        <w:t xml:space="preserve">一、会议时间、地点及投票方式 </w:t>
      </w:r>
    </w:p>
    <w:p>
      <w:pPr>
        <w:pStyle w:val="9"/>
        <w:spacing w:line="360" w:lineRule="auto"/>
        <w:ind w:firstLine="480" w:firstLineChars="200"/>
        <w:jc w:val="both"/>
      </w:pPr>
      <w:r>
        <w:t xml:space="preserve">（一）会议时间：2020 年 </w:t>
      </w:r>
      <w:r>
        <w:rPr>
          <w:rFonts w:hint="eastAsia"/>
        </w:rPr>
        <w:t>8</w:t>
      </w:r>
      <w:r>
        <w:t xml:space="preserve"> 月 </w:t>
      </w:r>
      <w:r>
        <w:rPr>
          <w:rFonts w:hint="eastAsia"/>
        </w:rPr>
        <w:t>17</w:t>
      </w:r>
      <w:r>
        <w:t xml:space="preserve"> 日 14 点 </w:t>
      </w:r>
      <w:r>
        <w:rPr>
          <w:rFonts w:hint="eastAsia"/>
        </w:rPr>
        <w:t>00</w:t>
      </w:r>
      <w:r>
        <w:t xml:space="preserve"> 分  </w:t>
      </w:r>
    </w:p>
    <w:p>
      <w:pPr>
        <w:pStyle w:val="9"/>
        <w:spacing w:line="360" w:lineRule="auto"/>
        <w:ind w:firstLine="480" w:firstLineChars="200"/>
        <w:jc w:val="both"/>
      </w:pPr>
      <w:r>
        <w:t>（二）会议地点：安徽省</w:t>
      </w:r>
      <w:r>
        <w:rPr>
          <w:rFonts w:hint="eastAsia"/>
        </w:rPr>
        <w:t>芜湖市鸠江区万春东路96号公司报告厅</w:t>
      </w:r>
      <w:r>
        <w:t xml:space="preserve"> </w:t>
      </w:r>
    </w:p>
    <w:p>
      <w:pPr>
        <w:pStyle w:val="9"/>
        <w:spacing w:line="360" w:lineRule="auto"/>
        <w:ind w:firstLine="480" w:firstLineChars="200"/>
        <w:jc w:val="both"/>
      </w:pPr>
      <w:r>
        <w:t xml:space="preserve">（三）会议投票方式：现场投票与网络投票相结合 </w:t>
      </w:r>
    </w:p>
    <w:p>
      <w:pPr>
        <w:pStyle w:val="9"/>
        <w:spacing w:line="360" w:lineRule="auto"/>
        <w:ind w:firstLine="480" w:firstLineChars="200"/>
        <w:jc w:val="both"/>
      </w:pPr>
      <w:r>
        <w:t xml:space="preserve">（四）网络投票的系统、起止日期和投票时间网络  </w:t>
      </w:r>
    </w:p>
    <w:p>
      <w:pPr>
        <w:pStyle w:val="9"/>
        <w:spacing w:line="360" w:lineRule="auto"/>
        <w:ind w:firstLine="480" w:firstLineChars="200"/>
        <w:jc w:val="both"/>
      </w:pPr>
      <w:r>
        <w:t xml:space="preserve">投票系统：上海证券交易所股东大会网络投票系统 </w:t>
      </w:r>
    </w:p>
    <w:p>
      <w:pPr>
        <w:pStyle w:val="9"/>
        <w:spacing w:line="360" w:lineRule="auto"/>
        <w:ind w:firstLine="480" w:firstLineChars="200"/>
        <w:jc w:val="both"/>
      </w:pPr>
      <w:r>
        <w:t xml:space="preserve">网络投票起止时间：自 2020 年 8 月 17 日至 2020 年 8 月 17 日 </w:t>
      </w:r>
    </w:p>
    <w:p>
      <w:pPr>
        <w:pStyle w:val="9"/>
        <w:spacing w:line="360" w:lineRule="auto"/>
        <w:ind w:firstLine="456" w:firstLineChars="200"/>
        <w:jc w:val="both"/>
      </w:pPr>
      <w:r>
        <w:rPr>
          <w:spacing w:val="-6"/>
        </w:rPr>
        <w:t>采用上海证券交易所网络投票系统，通过交易系统投票平台的投票时间为股</w:t>
      </w:r>
      <w:r>
        <w:rPr>
          <w:spacing w:val="-23"/>
        </w:rPr>
        <w:t>东大会召开当日</w:t>
      </w:r>
      <w:r>
        <w:rPr>
          <w:spacing w:val="-1"/>
        </w:rPr>
        <w:t>（</w:t>
      </w:r>
      <w:r>
        <w:t>2020</w:t>
      </w:r>
      <w:r>
        <w:rPr>
          <w:spacing w:val="-52"/>
        </w:rPr>
        <w:t xml:space="preserve"> 年 </w:t>
      </w:r>
      <w:r>
        <w:rPr>
          <w:rFonts w:hint="eastAsia"/>
        </w:rPr>
        <w:t>8</w:t>
      </w:r>
      <w:r>
        <w:rPr>
          <w:spacing w:val="-51"/>
        </w:rPr>
        <w:t xml:space="preserve"> 月 </w:t>
      </w:r>
      <w:r>
        <w:rPr>
          <w:rFonts w:hint="eastAsia"/>
        </w:rPr>
        <w:t>17</w:t>
      </w:r>
      <w:r>
        <w:rPr>
          <w:spacing w:val="-39"/>
        </w:rPr>
        <w:t xml:space="preserve"> 日</w:t>
      </w:r>
      <w:r>
        <w:rPr>
          <w:spacing w:val="-120"/>
        </w:rPr>
        <w:t>）</w:t>
      </w:r>
      <w:r>
        <w:rPr>
          <w:spacing w:val="-23"/>
        </w:rPr>
        <w:t xml:space="preserve">的交易时间段，即 </w:t>
      </w:r>
      <w:r>
        <w:t>9:15-9:25</w:t>
      </w:r>
      <w:r>
        <w:rPr>
          <w:spacing w:val="-59"/>
        </w:rPr>
        <w:t xml:space="preserve">， </w:t>
      </w:r>
      <w:r>
        <w:t>9:30-11:30</w:t>
      </w:r>
      <w:r>
        <w:rPr>
          <w:spacing w:val="-120"/>
        </w:rPr>
        <w:t>，</w:t>
      </w:r>
      <w:r>
        <w:t>13:00-15:00；通过互联网投票平台的投票时间为股东大会召开当日的 9:15-15:00。</w:t>
      </w:r>
    </w:p>
    <w:p>
      <w:pPr>
        <w:pStyle w:val="9"/>
        <w:spacing w:line="360" w:lineRule="auto"/>
        <w:ind w:firstLine="480" w:firstLineChars="200"/>
        <w:jc w:val="both"/>
      </w:pPr>
      <w:r>
        <w:t xml:space="preserve">二、现场会议议程：  </w:t>
      </w:r>
    </w:p>
    <w:p>
      <w:pPr>
        <w:pStyle w:val="9"/>
        <w:spacing w:line="360" w:lineRule="auto"/>
        <w:ind w:firstLine="480" w:firstLineChars="200"/>
        <w:jc w:val="both"/>
      </w:pPr>
      <w:r>
        <w:t xml:space="preserve">（一）参会人员签到，股东进行登记 </w:t>
      </w:r>
    </w:p>
    <w:p>
      <w:pPr>
        <w:pStyle w:val="9"/>
        <w:spacing w:line="360" w:lineRule="auto"/>
        <w:ind w:firstLine="480" w:firstLineChars="200"/>
        <w:jc w:val="both"/>
      </w:pPr>
      <w:r>
        <w:t xml:space="preserve">（二）会议主持人宣布会议开始，并向大会报告出席现场会议的股东人数、代表股份数，介绍现场会议参会人员、列席人员 </w:t>
      </w:r>
    </w:p>
    <w:p>
      <w:pPr>
        <w:pStyle w:val="9"/>
        <w:spacing w:line="360" w:lineRule="auto"/>
        <w:ind w:firstLine="480" w:firstLineChars="200"/>
        <w:jc w:val="both"/>
      </w:pPr>
      <w:r>
        <w:t xml:space="preserve">（三）宣读股东大会会议须知  </w:t>
      </w:r>
    </w:p>
    <w:p>
      <w:pPr>
        <w:pStyle w:val="9"/>
        <w:spacing w:line="360" w:lineRule="auto"/>
        <w:ind w:firstLine="480" w:firstLineChars="200"/>
        <w:jc w:val="both"/>
      </w:pPr>
      <w:r>
        <w:t>（四）推举计票、监票成员</w:t>
      </w:r>
    </w:p>
    <w:p>
      <w:pPr>
        <w:pStyle w:val="9"/>
        <w:spacing w:line="360" w:lineRule="auto"/>
        <w:ind w:firstLine="480" w:firstLineChars="200"/>
        <w:jc w:val="both"/>
      </w:pPr>
      <w:r>
        <w:t xml:space="preserve">（五）逐项审议会议各项议案 </w:t>
      </w:r>
    </w:p>
    <w:p>
      <w:pPr>
        <w:pStyle w:val="9"/>
        <w:spacing w:line="360" w:lineRule="auto"/>
        <w:ind w:firstLine="480" w:firstLineChars="200"/>
        <w:jc w:val="both"/>
      </w:pPr>
      <w:r>
        <w:t>议案一：关于</w:t>
      </w:r>
      <w:r>
        <w:rPr>
          <w:rFonts w:hint="eastAsia"/>
        </w:rPr>
        <w:t>增加公司注册资本及变更公司类型</w:t>
      </w:r>
      <w:r>
        <w:t xml:space="preserve">的议案  </w:t>
      </w:r>
    </w:p>
    <w:p>
      <w:pPr>
        <w:pStyle w:val="9"/>
        <w:spacing w:line="360" w:lineRule="auto"/>
        <w:ind w:firstLine="480" w:firstLineChars="200"/>
        <w:jc w:val="both"/>
      </w:pPr>
      <w:r>
        <w:t>议案二：关于</w:t>
      </w:r>
      <w:r>
        <w:rPr>
          <w:rFonts w:hint="eastAsia"/>
        </w:rPr>
        <w:t>修订《埃夫特智能装备股份有限公司章程》部分条款</w:t>
      </w:r>
      <w:r>
        <w:t>的议案</w:t>
      </w:r>
    </w:p>
    <w:p>
      <w:pPr>
        <w:pStyle w:val="9"/>
        <w:spacing w:line="360" w:lineRule="auto"/>
        <w:ind w:firstLine="480" w:firstLineChars="200"/>
        <w:jc w:val="both"/>
      </w:pPr>
      <w:r>
        <w:rPr>
          <w:rFonts w:hint="eastAsia"/>
        </w:rPr>
        <w:t>议案三：关于募投项目金额调整的议案</w:t>
      </w:r>
      <w:r>
        <w:t xml:space="preserve"> </w:t>
      </w:r>
    </w:p>
    <w:p>
      <w:pPr>
        <w:pStyle w:val="9"/>
        <w:spacing w:line="360" w:lineRule="auto"/>
        <w:ind w:firstLine="480" w:firstLineChars="200"/>
        <w:jc w:val="both"/>
      </w:pPr>
      <w:r>
        <w:t xml:space="preserve">（六）与会股东或股东代表发言、提问 </w:t>
      </w:r>
    </w:p>
    <w:p>
      <w:pPr>
        <w:pStyle w:val="9"/>
        <w:spacing w:line="360" w:lineRule="auto"/>
        <w:ind w:firstLine="480" w:firstLineChars="200"/>
        <w:jc w:val="both"/>
      </w:pPr>
      <w:r>
        <w:t xml:space="preserve">（七）与会股东或股东代表对各项议案进行投票表决 </w:t>
      </w:r>
    </w:p>
    <w:p>
      <w:pPr>
        <w:pStyle w:val="9"/>
        <w:spacing w:line="360" w:lineRule="auto"/>
        <w:ind w:firstLine="480" w:firstLineChars="200"/>
        <w:jc w:val="both"/>
        <w:rPr>
          <w:highlight w:val="none"/>
        </w:rPr>
      </w:pPr>
      <w:r>
        <w:t>（八）休会，</w:t>
      </w:r>
      <w:r>
        <w:rPr>
          <w:highlight w:val="none"/>
        </w:rPr>
        <w:t xml:space="preserve">统计表决结果 </w:t>
      </w:r>
    </w:p>
    <w:p>
      <w:pPr>
        <w:pStyle w:val="9"/>
        <w:spacing w:line="360" w:lineRule="auto"/>
        <w:ind w:firstLine="480" w:firstLineChars="200"/>
        <w:jc w:val="both"/>
        <w:rPr>
          <w:rFonts w:hint="default" w:eastAsia="宋体"/>
          <w:lang w:val="en-US" w:eastAsia="zh-CN"/>
        </w:rPr>
      </w:pPr>
      <w:r>
        <w:t xml:space="preserve">（九）复会，主持人宣布表决结果 </w:t>
      </w:r>
      <w:r>
        <w:rPr>
          <w:rStyle w:val="24"/>
          <w:rFonts w:hint="default"/>
          <w:lang w:eastAsia="zh-CN"/>
        </w:rPr>
        <w:t>、</w:t>
      </w:r>
      <w:r>
        <w:rPr>
          <w:rStyle w:val="24"/>
          <w:rFonts w:hint="default"/>
          <w:lang w:val="en-US" w:eastAsia="zh-CN"/>
        </w:rPr>
        <w:t>议案通过情况，宣读股东大会决议</w:t>
      </w:r>
    </w:p>
    <w:p>
      <w:pPr>
        <w:pStyle w:val="9"/>
        <w:spacing w:line="360" w:lineRule="auto"/>
        <w:ind w:firstLine="480" w:firstLineChars="200"/>
        <w:jc w:val="both"/>
      </w:pPr>
      <w:r>
        <w:t xml:space="preserve">（十）见证律师宣读关于本次股东大会的法律意见书 </w:t>
      </w:r>
    </w:p>
    <w:p>
      <w:pPr>
        <w:pStyle w:val="9"/>
        <w:spacing w:line="360" w:lineRule="auto"/>
        <w:ind w:firstLine="480" w:firstLineChars="200"/>
        <w:jc w:val="both"/>
      </w:pPr>
      <w:r>
        <w:t xml:space="preserve">（十一）与会人员签署会议记录等相关文件 </w:t>
      </w:r>
    </w:p>
    <w:p>
      <w:pPr>
        <w:pStyle w:val="9"/>
        <w:spacing w:line="360" w:lineRule="auto"/>
        <w:ind w:firstLine="480" w:firstLineChars="200"/>
        <w:jc w:val="both"/>
      </w:pPr>
      <w:r>
        <w:t xml:space="preserve">（十二）现场会议结束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6"/>
        <w:rPr>
          <w:sz w:val="21"/>
        </w:rPr>
      </w:pPr>
    </w:p>
    <w:p>
      <w:pPr>
        <w:pStyle w:val="9"/>
        <w:spacing w:before="67"/>
        <w:ind w:right="98"/>
        <w:jc w:val="center"/>
      </w:pPr>
      <w:r>
        <w:t xml:space="preserve"> </w:t>
      </w:r>
    </w:p>
    <w:p>
      <w:pPr>
        <w:jc w:val="center"/>
        <w:sectPr>
          <w:pgSz w:w="11910" w:h="16840"/>
          <w:pgMar w:top="1440" w:right="1800" w:bottom="1440" w:left="1800" w:header="884" w:footer="0" w:gutter="0"/>
          <w:cols w:space="720" w:num="1"/>
          <w:docGrid w:linePitch="299" w:charSpace="0"/>
        </w:sectPr>
      </w:pPr>
    </w:p>
    <w:p>
      <w:pPr>
        <w:pStyle w:val="9"/>
        <w:rPr>
          <w:sz w:val="20"/>
        </w:rPr>
      </w:pPr>
    </w:p>
    <w:p>
      <w:pPr>
        <w:spacing w:line="360" w:lineRule="auto"/>
        <w:jc w:val="center"/>
        <w:outlineLvl w:val="2"/>
        <w:rPr>
          <w:b/>
          <w:bCs/>
          <w:sz w:val="32"/>
          <w:szCs w:val="32"/>
        </w:rPr>
      </w:pPr>
      <w:bookmarkStart w:id="6" w:name="_Toc47446814"/>
      <w:bookmarkStart w:id="7" w:name="_Toc47446721"/>
      <w:r>
        <w:rPr>
          <w:rFonts w:hint="eastAsia"/>
          <w:b/>
          <w:bCs/>
          <w:sz w:val="32"/>
          <w:szCs w:val="32"/>
        </w:rPr>
        <w:t>议案一：关于增加公司注册资本及变更公司类型的议案</w:t>
      </w:r>
      <w:bookmarkEnd w:id="6"/>
      <w:bookmarkEnd w:id="7"/>
    </w:p>
    <w:p>
      <w:pPr>
        <w:pStyle w:val="9"/>
        <w:spacing w:before="2"/>
        <w:rPr>
          <w:b/>
          <w:sz w:val="17"/>
        </w:rPr>
      </w:pPr>
    </w:p>
    <w:p>
      <w:pPr>
        <w:rPr>
          <w:sz w:val="24"/>
          <w:szCs w:val="24"/>
        </w:rPr>
      </w:pPr>
      <w:r>
        <w:rPr>
          <w:sz w:val="24"/>
          <w:szCs w:val="24"/>
        </w:rPr>
        <w:t>各位股东及股东代表：</w:t>
      </w:r>
      <w:r>
        <w:rPr>
          <w:w w:val="99"/>
          <w:sz w:val="24"/>
          <w:szCs w:val="24"/>
        </w:rPr>
        <w:t xml:space="preserve"> </w:t>
      </w:r>
    </w:p>
    <w:p>
      <w:pPr>
        <w:pStyle w:val="9"/>
        <w:spacing w:before="7"/>
        <w:rPr>
          <w:b/>
          <w:sz w:val="18"/>
        </w:rPr>
      </w:pPr>
    </w:p>
    <w:p>
      <w:pPr>
        <w:spacing w:line="360" w:lineRule="auto"/>
        <w:ind w:firstLine="480" w:firstLineChars="200"/>
        <w:jc w:val="both"/>
        <w:rPr>
          <w:sz w:val="24"/>
        </w:rPr>
      </w:pPr>
      <w:r>
        <w:rPr>
          <w:rFonts w:hint="eastAsia"/>
          <w:sz w:val="24"/>
        </w:rPr>
        <w:t>中国证券监督管理委员会已于2020年6月7日出</w:t>
      </w:r>
      <w:r>
        <w:rPr>
          <w:rFonts w:hint="eastAsia"/>
          <w:sz w:val="24"/>
          <w:lang w:val="en-US"/>
        </w:rPr>
        <w:t>具</w:t>
      </w:r>
      <w:r>
        <w:rPr>
          <w:rFonts w:hint="eastAsia"/>
          <w:sz w:val="24"/>
        </w:rPr>
        <w:t>《关于同意埃夫特智能装备股份有限公司首次公开发行股票注册的批复》（证监许可[2020]1088号），同意公司首次公开发行股票的注册申请。公司于2020年7月3日公开发行人民币普通股13,044.6838万股，每股发行价格为人民币6.35元，募集资金总额为828,337,421.30元，扣除发行费用102,442,544.45元（不含增值税）后，募集资金净额为725,894,876.85元，上述资金已全部到位。容诚会计师事务所（特殊普通合伙）于2020年7月9日对本次发行的资金到位情况进行了审验，并出具了《验资报告》（容诚验字[</w:t>
      </w:r>
      <w:r>
        <w:rPr>
          <w:sz w:val="24"/>
        </w:rPr>
        <w:t>2020]</w:t>
      </w:r>
      <w:r>
        <w:rPr>
          <w:rFonts w:hint="eastAsia"/>
          <w:sz w:val="24"/>
        </w:rPr>
        <w:t>241Z0003号）。据此，本次发行完成后，公司注册资本由39,133.3162万元变更为52,178万元，公司股份总数由39,133.3162万股变更为52,178万股，公司类型由“股份有限公司(中外合资、非上市)”变更为“股份有限公司(中外合资、上市)”</w:t>
      </w:r>
    </w:p>
    <w:p>
      <w:pPr>
        <w:pStyle w:val="9"/>
        <w:spacing w:before="7"/>
        <w:rPr>
          <w:sz w:val="13"/>
        </w:rPr>
      </w:pPr>
    </w:p>
    <w:p>
      <w:pPr>
        <w:pStyle w:val="9"/>
        <w:spacing w:before="67" w:line="364" w:lineRule="auto"/>
        <w:ind w:left="140" w:right="358" w:firstLine="479"/>
        <w:jc w:val="both"/>
      </w:pPr>
      <w:r>
        <w:rPr>
          <w:spacing w:val="-11"/>
        </w:rPr>
        <w:t xml:space="preserve">以上议案已经 </w:t>
      </w:r>
      <w:r>
        <w:t>2020</w:t>
      </w:r>
      <w:r>
        <w:rPr>
          <w:spacing w:val="-51"/>
        </w:rPr>
        <w:t xml:space="preserve"> 年 </w:t>
      </w:r>
      <w:r>
        <w:t>7</w:t>
      </w:r>
      <w:r>
        <w:rPr>
          <w:spacing w:val="-52"/>
        </w:rPr>
        <w:t>月</w:t>
      </w:r>
      <w:r>
        <w:rPr>
          <w:rFonts w:hint="eastAsia"/>
          <w:spacing w:val="-52"/>
        </w:rPr>
        <w:t xml:space="preserve"> </w:t>
      </w:r>
      <w:r>
        <w:rPr>
          <w:rFonts w:hint="eastAsia"/>
        </w:rPr>
        <w:t>29</w:t>
      </w:r>
      <w:r>
        <w:rPr>
          <w:spacing w:val="-10"/>
        </w:rPr>
        <w:t>日召开的公司第</w:t>
      </w:r>
      <w:r>
        <w:rPr>
          <w:rFonts w:hint="eastAsia"/>
          <w:spacing w:val="-10"/>
        </w:rPr>
        <w:t>二</w:t>
      </w:r>
      <w:r>
        <w:rPr>
          <w:spacing w:val="-10"/>
        </w:rPr>
        <w:t>届董事会第</w:t>
      </w:r>
      <w:r>
        <w:rPr>
          <w:rFonts w:hint="eastAsia"/>
          <w:spacing w:val="-10"/>
        </w:rPr>
        <w:t>八</w:t>
      </w:r>
      <w:r>
        <w:rPr>
          <w:spacing w:val="-10"/>
        </w:rPr>
        <w:t>次会议</w:t>
      </w:r>
      <w:r>
        <w:rPr>
          <w:rFonts w:hint="eastAsia"/>
          <w:spacing w:val="-10"/>
        </w:rPr>
        <w:t>及第二届监事会第四次会议</w:t>
      </w:r>
      <w:r>
        <w:rPr>
          <w:spacing w:val="-10"/>
        </w:rPr>
        <w:t>审议通</w:t>
      </w:r>
      <w:r>
        <w:t xml:space="preserve">过，现提请股东大会审议。 </w:t>
      </w:r>
    </w:p>
    <w:p>
      <w:pPr>
        <w:pStyle w:val="9"/>
        <w:rPr>
          <w:sz w:val="20"/>
        </w:rPr>
      </w:pPr>
    </w:p>
    <w:p>
      <w:pPr>
        <w:pStyle w:val="9"/>
        <w:rPr>
          <w:sz w:val="20"/>
        </w:rPr>
      </w:pPr>
    </w:p>
    <w:p>
      <w:pPr>
        <w:pStyle w:val="9"/>
        <w:spacing w:before="8"/>
      </w:pPr>
    </w:p>
    <w:p>
      <w:pPr>
        <w:pStyle w:val="9"/>
        <w:jc w:val="right"/>
      </w:pPr>
      <w:r>
        <w:t xml:space="preserve">埃夫特智能装备股份有限公司董事会 </w:t>
      </w:r>
    </w:p>
    <w:p>
      <w:pPr>
        <w:pStyle w:val="9"/>
        <w:jc w:val="right"/>
      </w:pPr>
    </w:p>
    <w:p>
      <w:pPr>
        <w:pStyle w:val="9"/>
        <w:jc w:val="right"/>
        <w:rPr>
          <w:spacing w:val="-30"/>
        </w:rPr>
      </w:pPr>
      <w:r>
        <w:t>2020</w:t>
      </w:r>
      <w:r>
        <w:rPr>
          <w:spacing w:val="-40"/>
        </w:rPr>
        <w:t xml:space="preserve"> 年 </w:t>
      </w:r>
      <w:r>
        <w:rPr>
          <w:rFonts w:hint="eastAsia"/>
        </w:rPr>
        <w:t>8</w:t>
      </w:r>
      <w:r>
        <w:rPr>
          <w:spacing w:val="-40"/>
        </w:rPr>
        <w:t xml:space="preserve">月 </w:t>
      </w:r>
      <w:r>
        <w:rPr>
          <w:rFonts w:hint="eastAsia"/>
        </w:rPr>
        <w:t>17</w:t>
      </w:r>
      <w:r>
        <w:rPr>
          <w:spacing w:val="-30"/>
        </w:rPr>
        <w:t xml:space="preserve">日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rPr>
          <w:sz w:val="32"/>
        </w:rPr>
        <w:sectPr>
          <w:headerReference r:id="rId5" w:type="default"/>
          <w:pgSz w:w="11910" w:h="16840"/>
          <w:pgMar w:top="1440" w:right="1800" w:bottom="1440" w:left="1800" w:header="884" w:footer="0" w:gutter="0"/>
          <w:cols w:space="720" w:num="1"/>
          <w:docGrid w:linePitch="299" w:charSpace="0"/>
        </w:sectPr>
      </w:pPr>
    </w:p>
    <w:p>
      <w:pPr>
        <w:pStyle w:val="9"/>
        <w:spacing w:before="6"/>
        <w:rPr>
          <w:b/>
        </w:rPr>
      </w:pPr>
    </w:p>
    <w:p>
      <w:pPr>
        <w:spacing w:line="360" w:lineRule="auto"/>
        <w:jc w:val="center"/>
        <w:outlineLvl w:val="2"/>
        <w:rPr>
          <w:b/>
          <w:bCs/>
          <w:sz w:val="32"/>
          <w:szCs w:val="32"/>
        </w:rPr>
      </w:pPr>
      <w:bookmarkStart w:id="8" w:name="_Toc47446815"/>
      <w:bookmarkStart w:id="9" w:name="_Toc47446722"/>
      <w:r>
        <w:rPr>
          <w:b/>
          <w:bCs/>
          <w:sz w:val="32"/>
          <w:szCs w:val="32"/>
        </w:rPr>
        <w:t>议案二：</w:t>
      </w:r>
      <w:r>
        <w:rPr>
          <w:rFonts w:hint="eastAsia"/>
          <w:b/>
          <w:bCs/>
          <w:sz w:val="32"/>
          <w:szCs w:val="32"/>
        </w:rPr>
        <w:t>关于修订《埃夫特智能装备股份有限公司章程》部分条款的议案</w:t>
      </w:r>
      <w:bookmarkEnd w:id="8"/>
      <w:bookmarkEnd w:id="9"/>
    </w:p>
    <w:p>
      <w:pPr>
        <w:pStyle w:val="9"/>
        <w:spacing w:before="7"/>
        <w:rPr>
          <w:b/>
          <w:sz w:val="17"/>
        </w:rPr>
      </w:pPr>
    </w:p>
    <w:p>
      <w:pPr>
        <w:rPr>
          <w:sz w:val="24"/>
          <w:szCs w:val="24"/>
        </w:rPr>
      </w:pPr>
      <w:r>
        <w:rPr>
          <w:sz w:val="24"/>
          <w:szCs w:val="24"/>
        </w:rPr>
        <w:t>各位股东及股东代表 ：</w:t>
      </w:r>
      <w:r>
        <w:rPr>
          <w:w w:val="99"/>
          <w:sz w:val="24"/>
          <w:szCs w:val="24"/>
        </w:rPr>
        <w:t xml:space="preserve"> </w:t>
      </w:r>
    </w:p>
    <w:p>
      <w:pPr>
        <w:pStyle w:val="9"/>
        <w:spacing w:before="8"/>
        <w:rPr>
          <w:b/>
          <w:sz w:val="22"/>
        </w:rPr>
      </w:pPr>
    </w:p>
    <w:p>
      <w:pPr>
        <w:spacing w:line="360" w:lineRule="auto"/>
        <w:ind w:firstLine="480" w:firstLineChars="200"/>
        <w:rPr>
          <w:sz w:val="24"/>
        </w:rPr>
      </w:pPr>
      <w:r>
        <w:rPr>
          <w:rFonts w:hint="eastAsia"/>
          <w:sz w:val="24"/>
        </w:rPr>
        <w:t>公司于2019年6月10日召开的2019年第二次临时股东大会审议通过了《埃夫特智能装备股份有限公司章程（草案）》，该《章程（草案）》自公司首次公开发行股票并在科创板上市之日起生效。</w:t>
      </w:r>
    </w:p>
    <w:p>
      <w:pPr>
        <w:spacing w:line="360" w:lineRule="auto"/>
        <w:ind w:firstLine="480" w:firstLineChars="200"/>
        <w:rPr>
          <w:sz w:val="24"/>
        </w:rPr>
      </w:pPr>
      <w:r>
        <w:rPr>
          <w:rFonts w:hint="eastAsia"/>
          <w:sz w:val="24"/>
        </w:rPr>
        <w:t>根据《中华人民共和国证券法》《上市公司章程指引》等规定，结合公司本次发行上市的实际情况，现拟将《埃夫特智能装备股份有限公司章程（草案）》名称变更为《埃夫特智能装备股份有限公司章程》，并对《埃夫特智能装备股份有限公司章程（草案）》中的部分条款进行相应修订。具体修订内容如下：</w:t>
      </w:r>
    </w:p>
    <w:p>
      <w:pPr>
        <w:spacing w:line="343" w:lineRule="auto"/>
        <w:jc w:val="both"/>
      </w:pP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spacing w:line="360" w:lineRule="auto"/>
              <w:jc w:val="center"/>
              <w:rPr>
                <w:b/>
                <w:szCs w:val="21"/>
              </w:rPr>
            </w:pPr>
            <w:r>
              <w:rPr>
                <w:rFonts w:hint="eastAsia"/>
                <w:b/>
                <w:szCs w:val="21"/>
              </w:rPr>
              <w:t>修改前</w:t>
            </w:r>
          </w:p>
        </w:tc>
        <w:tc>
          <w:tcPr>
            <w:tcW w:w="4148" w:type="dxa"/>
            <w:vAlign w:val="center"/>
          </w:tcPr>
          <w:p>
            <w:pPr>
              <w:spacing w:line="360" w:lineRule="auto"/>
              <w:jc w:val="center"/>
              <w:rPr>
                <w:b/>
                <w:szCs w:val="21"/>
              </w:rPr>
            </w:pPr>
            <w:r>
              <w:rPr>
                <w:rFonts w:hint="eastAsia"/>
                <w:b/>
                <w:szCs w:val="21"/>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tabs>
                <w:tab w:val="left" w:pos="1386"/>
              </w:tabs>
              <w:spacing w:line="360" w:lineRule="auto"/>
            </w:pPr>
          </w:p>
          <w:p>
            <w:pPr>
              <w:tabs>
                <w:tab w:val="left" w:pos="1386"/>
              </w:tabs>
              <w:spacing w:line="360" w:lineRule="auto"/>
              <w:rPr>
                <w:color w:val="000000"/>
              </w:rPr>
            </w:pPr>
            <w:r>
              <w:rPr>
                <w:rFonts w:hint="eastAsia"/>
              </w:rPr>
              <w:t>第三条  公司于【】年【】月【】日经中国证券监督管理委员会（以下称“中国证监会”）同意</w:t>
            </w:r>
            <w:r>
              <w:t>注册</w:t>
            </w:r>
            <w:r>
              <w:rPr>
                <w:rFonts w:hint="eastAsia"/>
              </w:rPr>
              <w:t>，首次向社会公众发行人民币普通股【】万股并于【】年【】月【】日在上海证券交易所科创板上市。</w:t>
            </w:r>
          </w:p>
          <w:p>
            <w:pPr>
              <w:spacing w:line="360" w:lineRule="auto"/>
              <w:ind w:firstLine="440" w:firstLineChars="200"/>
              <w:rPr>
                <w:szCs w:val="21"/>
              </w:rPr>
            </w:pPr>
          </w:p>
        </w:tc>
        <w:tc>
          <w:tcPr>
            <w:tcW w:w="4148" w:type="dxa"/>
            <w:vAlign w:val="center"/>
          </w:tcPr>
          <w:p>
            <w:pPr>
              <w:tabs>
                <w:tab w:val="left" w:pos="1386"/>
              </w:tabs>
              <w:spacing w:line="360" w:lineRule="auto"/>
            </w:pPr>
            <w:r>
              <w:rPr>
                <w:rFonts w:hint="eastAsia"/>
              </w:rPr>
              <w:t>第三条  公司于</w:t>
            </w:r>
            <w:r>
              <w:rPr>
                <w:rFonts w:hint="eastAsia"/>
                <w:b/>
                <w:bCs/>
              </w:rPr>
              <w:t>2020年6月7日</w:t>
            </w:r>
            <w:r>
              <w:rPr>
                <w:rFonts w:hint="eastAsia"/>
              </w:rPr>
              <w:t>经中国证券监督管理委员会（以下称“中国证监会”）同意注册，首次向社会公众发行人民币普通股</w:t>
            </w:r>
            <w:r>
              <w:rPr>
                <w:rFonts w:hint="eastAsia"/>
                <w:b/>
                <w:bCs/>
              </w:rPr>
              <w:t>13,044.6838</w:t>
            </w:r>
            <w:r>
              <w:rPr>
                <w:rFonts w:hint="eastAsia"/>
              </w:rPr>
              <w:t>万股并于</w:t>
            </w:r>
            <w:r>
              <w:rPr>
                <w:rFonts w:hint="eastAsia"/>
                <w:b/>
                <w:bCs/>
              </w:rPr>
              <w:t>2020年7月15日</w:t>
            </w:r>
            <w:r>
              <w:rPr>
                <w:rFonts w:hint="eastAsia"/>
              </w:rPr>
              <w:t>在上海证券交易所科创板上市。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tabs>
                <w:tab w:val="left" w:pos="1386"/>
              </w:tabs>
              <w:spacing w:line="360" w:lineRule="auto"/>
            </w:pPr>
            <w:r>
              <w:rPr>
                <w:rFonts w:hint="eastAsia"/>
              </w:rPr>
              <w:t>第六条  公司注册资本为【】万元人民币。</w:t>
            </w:r>
          </w:p>
          <w:p>
            <w:pPr>
              <w:tabs>
                <w:tab w:val="left" w:pos="1386"/>
              </w:tabs>
              <w:spacing w:line="360" w:lineRule="auto"/>
              <w:ind w:left="440" w:leftChars="200"/>
            </w:pPr>
          </w:p>
        </w:tc>
        <w:tc>
          <w:tcPr>
            <w:tcW w:w="4148" w:type="dxa"/>
            <w:vAlign w:val="center"/>
          </w:tcPr>
          <w:p>
            <w:pPr>
              <w:tabs>
                <w:tab w:val="left" w:pos="1386"/>
              </w:tabs>
              <w:spacing w:line="360" w:lineRule="auto"/>
            </w:pPr>
            <w:r>
              <w:rPr>
                <w:rFonts w:hint="eastAsia"/>
              </w:rPr>
              <w:t>第六条  公司注册资本为</w:t>
            </w:r>
            <w:r>
              <w:rPr>
                <w:rFonts w:hint="eastAsia"/>
                <w:b/>
                <w:bCs/>
              </w:rPr>
              <w:t>52,178</w:t>
            </w:r>
            <w:r>
              <w:rPr>
                <w:rFonts w:hint="eastAsia"/>
              </w:rPr>
              <w:t>万元人民币。</w:t>
            </w:r>
          </w:p>
          <w:p>
            <w:pPr>
              <w:tabs>
                <w:tab w:val="left" w:pos="1386"/>
              </w:tabs>
              <w:spacing w:line="360" w:lineRule="auto"/>
              <w:ind w:firstLine="44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spacing w:line="360" w:lineRule="auto"/>
              <w:rPr>
                <w:szCs w:val="21"/>
              </w:rPr>
            </w:pPr>
            <w:r>
              <w:rPr>
                <w:rFonts w:hint="eastAsia"/>
                <w:szCs w:val="21"/>
              </w:rPr>
              <w:t>第十九条  公司的股份总数为【】万股，全部为普通股。</w:t>
            </w:r>
          </w:p>
          <w:p>
            <w:pPr>
              <w:spacing w:line="360" w:lineRule="auto"/>
              <w:ind w:firstLine="440" w:firstLineChars="200"/>
              <w:rPr>
                <w:szCs w:val="21"/>
              </w:rPr>
            </w:pPr>
          </w:p>
        </w:tc>
        <w:tc>
          <w:tcPr>
            <w:tcW w:w="4148" w:type="dxa"/>
            <w:vAlign w:val="center"/>
          </w:tcPr>
          <w:p>
            <w:pPr>
              <w:spacing w:line="360" w:lineRule="auto"/>
              <w:rPr>
                <w:szCs w:val="21"/>
              </w:rPr>
            </w:pPr>
            <w:r>
              <w:rPr>
                <w:rFonts w:hint="eastAsia"/>
                <w:szCs w:val="21"/>
              </w:rPr>
              <w:t>第十九条  公司的股份总数为</w:t>
            </w:r>
            <w:r>
              <w:rPr>
                <w:rFonts w:hint="eastAsia"/>
                <w:b/>
                <w:bCs/>
                <w:szCs w:val="21"/>
              </w:rPr>
              <w:t>52</w:t>
            </w:r>
            <w:r>
              <w:rPr>
                <w:b/>
                <w:bCs/>
                <w:szCs w:val="21"/>
              </w:rPr>
              <w:t>,</w:t>
            </w:r>
            <w:r>
              <w:rPr>
                <w:rFonts w:hint="eastAsia"/>
                <w:b/>
                <w:bCs/>
                <w:szCs w:val="21"/>
              </w:rPr>
              <w:t>178</w:t>
            </w:r>
            <w:r>
              <w:rPr>
                <w:rFonts w:hint="eastAsia"/>
                <w:szCs w:val="21"/>
              </w:rPr>
              <w:t>万股，全部为普通股。</w:t>
            </w:r>
          </w:p>
          <w:p>
            <w:pPr>
              <w:spacing w:line="360" w:lineRule="auto"/>
              <w:ind w:firstLine="440" w:firstLineChars="200"/>
              <w:rPr>
                <w:szCs w:val="21"/>
              </w:rPr>
            </w:pPr>
          </w:p>
        </w:tc>
      </w:tr>
    </w:tbl>
    <w:p>
      <w:pPr>
        <w:spacing w:line="343" w:lineRule="auto"/>
        <w:jc w:val="both"/>
        <w:sectPr>
          <w:pgSz w:w="11910" w:h="16840"/>
          <w:pgMar w:top="1440" w:right="1800" w:bottom="1440" w:left="1800" w:header="884" w:footer="0" w:gutter="0"/>
          <w:cols w:space="720" w:num="1"/>
          <w:docGrid w:linePitch="299" w:charSpace="0"/>
        </w:sectPr>
      </w:pPr>
    </w:p>
    <w:p>
      <w:pPr>
        <w:pStyle w:val="9"/>
        <w:spacing w:before="5"/>
        <w:rPr>
          <w:sz w:val="22"/>
        </w:rPr>
      </w:pPr>
    </w:p>
    <w:p>
      <w:pPr>
        <w:pStyle w:val="9"/>
        <w:spacing w:line="360" w:lineRule="auto"/>
        <w:ind w:firstLine="480" w:firstLineChars="200"/>
        <w:jc w:val="both"/>
      </w:pPr>
      <w:r>
        <w:rPr>
          <w:rFonts w:hint="eastAsia"/>
          <w:color w:val="000000"/>
          <w:lang w:bidi="ar"/>
        </w:rPr>
        <w:t>除上述条款修改外，《公司章程》其他条款不变。上述变更最终以工商登记机关核准的内容为准。</w:t>
      </w:r>
      <w:r>
        <w:t>修订后的《</w:t>
      </w:r>
      <w:r>
        <w:rPr>
          <w:rFonts w:hint="eastAsia"/>
        </w:rPr>
        <w:t>埃夫特智能装备</w:t>
      </w:r>
      <w:r>
        <w:t>股份有限公司章程》已于</w:t>
      </w:r>
      <w:r>
        <w:fldChar w:fldCharType="begin"/>
      </w:r>
      <w:r>
        <w:instrText xml:space="preserve"> HYPERLINK "http://2020年7月31日在上海证券交易所网站（www.sse.com.cn" </w:instrText>
      </w:r>
      <w:r>
        <w:fldChar w:fldCharType="separate"/>
      </w:r>
      <w:r>
        <w:rPr>
          <w:rStyle w:val="25"/>
          <w:color w:val="auto"/>
          <w:u w:val="none"/>
        </w:rPr>
        <w:t>2020年7月31日在上海证券交易所网站（www.sse.com.cn</w:t>
      </w:r>
      <w:r>
        <w:rPr>
          <w:rStyle w:val="25"/>
          <w:color w:val="auto"/>
          <w:u w:val="none"/>
        </w:rPr>
        <w:fldChar w:fldCharType="end"/>
      </w:r>
      <w:r>
        <w:t>）披露。</w:t>
      </w:r>
    </w:p>
    <w:p>
      <w:pPr>
        <w:pStyle w:val="9"/>
        <w:spacing w:line="360" w:lineRule="auto"/>
        <w:ind w:firstLine="400" w:firstLineChars="200"/>
        <w:jc w:val="both"/>
        <w:rPr>
          <w:spacing w:val="-20"/>
        </w:rPr>
      </w:pPr>
    </w:p>
    <w:p>
      <w:pPr>
        <w:pStyle w:val="9"/>
        <w:spacing w:line="360" w:lineRule="auto"/>
        <w:ind w:firstLine="400" w:firstLineChars="200"/>
        <w:jc w:val="both"/>
      </w:pPr>
      <w:r>
        <w:rPr>
          <w:spacing w:val="-20"/>
        </w:rPr>
        <w:t xml:space="preserve">以上议案，已经 </w:t>
      </w:r>
      <w:r>
        <w:t>2020</w:t>
      </w:r>
      <w:r>
        <w:rPr>
          <w:spacing w:val="-40"/>
        </w:rPr>
        <w:t xml:space="preserve"> 年 </w:t>
      </w:r>
      <w:r>
        <w:t xml:space="preserve">7 </w:t>
      </w:r>
      <w:r>
        <w:rPr>
          <w:spacing w:val="-40"/>
        </w:rPr>
        <w:t>月</w:t>
      </w:r>
      <w:r>
        <w:rPr>
          <w:rFonts w:hint="eastAsia"/>
          <w:spacing w:val="-40"/>
        </w:rPr>
        <w:t xml:space="preserve"> </w:t>
      </w:r>
      <w:r>
        <w:rPr>
          <w:rFonts w:hint="eastAsia"/>
        </w:rPr>
        <w:t>29</w:t>
      </w:r>
      <w:r>
        <w:t xml:space="preserve"> </w:t>
      </w:r>
      <w:r>
        <w:rPr>
          <w:spacing w:val="-9"/>
        </w:rPr>
        <w:t>日召开的公司第</w:t>
      </w:r>
      <w:r>
        <w:rPr>
          <w:rFonts w:hint="eastAsia"/>
          <w:spacing w:val="-9"/>
        </w:rPr>
        <w:t>二</w:t>
      </w:r>
      <w:r>
        <w:rPr>
          <w:spacing w:val="-9"/>
        </w:rPr>
        <w:t>届董事会第</w:t>
      </w:r>
      <w:r>
        <w:rPr>
          <w:rFonts w:hint="eastAsia"/>
          <w:spacing w:val="-9"/>
        </w:rPr>
        <w:t>八</w:t>
      </w:r>
      <w:r>
        <w:rPr>
          <w:spacing w:val="-9"/>
        </w:rPr>
        <w:t>次会议</w:t>
      </w:r>
      <w:r>
        <w:t xml:space="preserve">审议通过，现提请股东大会审议。 </w:t>
      </w:r>
    </w:p>
    <w:p>
      <w:pPr>
        <w:pStyle w:val="9"/>
      </w:pPr>
    </w:p>
    <w:p>
      <w:pPr>
        <w:pStyle w:val="9"/>
      </w:pPr>
    </w:p>
    <w:p>
      <w:pPr>
        <w:pStyle w:val="9"/>
      </w:pPr>
    </w:p>
    <w:p>
      <w:pPr>
        <w:pStyle w:val="9"/>
        <w:spacing w:before="195"/>
        <w:jc w:val="right"/>
      </w:pPr>
      <w:r>
        <w:t>埃夫特智能装备股份有限公司董事会</w:t>
      </w:r>
    </w:p>
    <w:p>
      <w:pPr>
        <w:pStyle w:val="9"/>
        <w:spacing w:before="9"/>
        <w:jc w:val="right"/>
      </w:pPr>
    </w:p>
    <w:p>
      <w:pPr>
        <w:pStyle w:val="9"/>
        <w:jc w:val="right"/>
        <w:rPr>
          <w:spacing w:val="-30"/>
        </w:rPr>
      </w:pPr>
      <w:r>
        <w:t>2020</w:t>
      </w:r>
      <w:r>
        <w:rPr>
          <w:spacing w:val="-40"/>
        </w:rPr>
        <w:t xml:space="preserve"> 年 </w:t>
      </w:r>
      <w:r>
        <w:rPr>
          <w:rFonts w:hint="eastAsia"/>
        </w:rPr>
        <w:t>8</w:t>
      </w:r>
      <w:r>
        <w:rPr>
          <w:spacing w:val="-40"/>
        </w:rPr>
        <w:t xml:space="preserve">月 </w:t>
      </w:r>
      <w:r>
        <w:rPr>
          <w:rFonts w:hint="eastAsia"/>
        </w:rPr>
        <w:t>17</w:t>
      </w:r>
      <w:r>
        <w:rPr>
          <w:spacing w:val="-30"/>
        </w:rPr>
        <w:t>日</w:t>
      </w:r>
    </w:p>
    <w:p>
      <w:pPr>
        <w:pStyle w:val="9"/>
        <w:ind w:right="236"/>
        <w:jc w:val="right"/>
      </w:pPr>
      <w:r>
        <w:rPr>
          <w:spacing w:val="-30"/>
        </w:rPr>
        <w:t xml:space="preserve"> </w:t>
      </w:r>
    </w:p>
    <w:p>
      <w:pPr>
        <w:pStyle w:val="9"/>
        <w:spacing w:before="9"/>
      </w:pPr>
    </w:p>
    <w:p>
      <w:pPr>
        <w:rPr>
          <w:sz w:val="24"/>
          <w:szCs w:val="24"/>
        </w:rPr>
      </w:pPr>
      <w:r>
        <w:br w:type="page"/>
      </w:r>
    </w:p>
    <w:p>
      <w:pPr>
        <w:pStyle w:val="9"/>
        <w:spacing w:before="9"/>
      </w:pPr>
    </w:p>
    <w:p>
      <w:pPr>
        <w:spacing w:line="360" w:lineRule="auto"/>
        <w:jc w:val="center"/>
        <w:outlineLvl w:val="2"/>
        <w:rPr>
          <w:b/>
          <w:bCs/>
          <w:sz w:val="32"/>
          <w:szCs w:val="32"/>
        </w:rPr>
      </w:pPr>
      <w:r>
        <w:rPr>
          <w:b/>
          <w:bCs/>
        </w:rPr>
        <w:t xml:space="preserve"> </w:t>
      </w:r>
      <w:bookmarkStart w:id="10" w:name="_Toc47446723"/>
      <w:bookmarkStart w:id="11" w:name="_Toc47446816"/>
      <w:r>
        <w:rPr>
          <w:rFonts w:hint="eastAsia"/>
          <w:b/>
          <w:bCs/>
          <w:sz w:val="32"/>
          <w:szCs w:val="32"/>
        </w:rPr>
        <w:t>议案三：关于募投项目金额</w:t>
      </w:r>
      <w:r>
        <w:rPr>
          <w:b/>
          <w:bCs/>
          <w:sz w:val="32"/>
          <w:szCs w:val="32"/>
        </w:rPr>
        <w:t>调整</w:t>
      </w:r>
      <w:r>
        <w:rPr>
          <w:rFonts w:hint="eastAsia"/>
          <w:b/>
          <w:bCs/>
          <w:sz w:val="32"/>
          <w:szCs w:val="32"/>
        </w:rPr>
        <w:t>的议案</w:t>
      </w:r>
      <w:bookmarkEnd w:id="10"/>
      <w:bookmarkEnd w:id="11"/>
    </w:p>
    <w:p>
      <w:pPr>
        <w:spacing w:line="360" w:lineRule="auto"/>
        <w:ind w:right="480"/>
        <w:rPr>
          <w:sz w:val="24"/>
        </w:rPr>
      </w:pPr>
      <w:bookmarkStart w:id="12" w:name="_Hlk46308024"/>
    </w:p>
    <w:p>
      <w:pPr>
        <w:spacing w:line="360" w:lineRule="auto"/>
        <w:jc w:val="both"/>
        <w:rPr>
          <w:sz w:val="24"/>
        </w:rPr>
      </w:pPr>
      <w:r>
        <w:rPr>
          <w:rFonts w:hint="eastAsia"/>
          <w:sz w:val="24"/>
        </w:rPr>
        <w:t>各位股东及股东代表：</w:t>
      </w:r>
    </w:p>
    <w:bookmarkEnd w:id="12"/>
    <w:p>
      <w:pPr>
        <w:spacing w:line="360" w:lineRule="auto"/>
        <w:ind w:firstLine="482" w:firstLineChars="200"/>
        <w:jc w:val="both"/>
        <w:rPr>
          <w:b/>
          <w:bCs/>
          <w:sz w:val="24"/>
        </w:rPr>
      </w:pPr>
      <w:r>
        <w:rPr>
          <w:b/>
          <w:bCs/>
          <w:sz w:val="24"/>
        </w:rPr>
        <w:t>一、募集资金基本情况</w:t>
      </w:r>
      <w:r>
        <w:rPr>
          <w:b/>
          <w:bCs/>
          <w:w w:val="99"/>
          <w:sz w:val="24"/>
        </w:rPr>
        <w:t xml:space="preserve"> </w:t>
      </w:r>
    </w:p>
    <w:p>
      <w:pPr>
        <w:spacing w:line="360" w:lineRule="auto"/>
        <w:ind w:firstLine="480" w:firstLineChars="200"/>
        <w:jc w:val="both"/>
        <w:rPr>
          <w:sz w:val="24"/>
        </w:rPr>
      </w:pPr>
      <w:r>
        <w:rPr>
          <w:rFonts w:hint="eastAsia"/>
          <w:sz w:val="24"/>
        </w:rPr>
        <w:t>经中国证券监督管理委员会《关于同意埃夫特智能装备股份有限公司首次公开发行股票注册的批复》（证监许可[2020]1088号）同意，公司首次向社会公众公开发行人民币普通股（A股）13,044.6838万股，每股发行价格为人民币6.35元，募集资金总额为828,337,421.30元，扣除发行费用102,442,544.45元（不含增值税）后，募集资金净额为725,894,876.85元，上述资金到位情况已经容诚会计师事务所（特殊普通合伙）验证并出具了《验资报告》（容诚验字[</w:t>
      </w:r>
      <w:r>
        <w:rPr>
          <w:sz w:val="24"/>
        </w:rPr>
        <w:t>2020]</w:t>
      </w:r>
      <w:r>
        <w:rPr>
          <w:rFonts w:hint="eastAsia"/>
          <w:sz w:val="24"/>
        </w:rPr>
        <w:t>241Z0003号）。根据公司与国信证券股份有限公司、中国国际金融股份有限公司签署的《承销协议》，以及公司与国信证券股份有限公司签署的《保荐协议》，公司已对募集资金进行了专户存储,并与保荐机构、存放募集资金的商业银行签署了《募集资金专户存储三方监管协议》，具体情况请见2020年7月14日披露与上海证券交易所网站（www</w:t>
      </w:r>
      <w:r>
        <w:rPr>
          <w:sz w:val="24"/>
        </w:rPr>
        <w:t>.sse.com.cn</w:t>
      </w:r>
      <w:r>
        <w:rPr>
          <w:rFonts w:hint="eastAsia"/>
          <w:sz w:val="24"/>
        </w:rPr>
        <w:t>）《首次公开发行股票科创板上市公告书》。</w:t>
      </w:r>
    </w:p>
    <w:p>
      <w:pPr>
        <w:spacing w:line="360" w:lineRule="auto"/>
        <w:ind w:firstLine="482" w:firstLineChars="200"/>
        <w:jc w:val="both"/>
        <w:rPr>
          <w:b/>
          <w:sz w:val="24"/>
        </w:rPr>
      </w:pPr>
      <w:r>
        <w:rPr>
          <w:rFonts w:hint="eastAsia"/>
          <w:b/>
          <w:sz w:val="24"/>
        </w:rPr>
        <w:t>二、本次调整部分募投项目募集资金投资金额情况</w:t>
      </w:r>
    </w:p>
    <w:p>
      <w:pPr>
        <w:widowControl/>
        <w:spacing w:line="360" w:lineRule="auto"/>
        <w:ind w:firstLine="480" w:firstLineChars="200"/>
        <w:jc w:val="both"/>
        <w:rPr>
          <w:sz w:val="24"/>
        </w:rPr>
      </w:pPr>
      <w:r>
        <w:rPr>
          <w:rFonts w:hint="eastAsia"/>
          <w:sz w:val="24"/>
        </w:rPr>
        <w:t>由于受资本市场融资环境等因素影响，公司本次发行募集资金净额为725,894,876.85元，小于《招股说明书》中项目拟使用募集资金的总投资额</w:t>
      </w:r>
      <w:r>
        <w:rPr>
          <w:sz w:val="24"/>
        </w:rPr>
        <w:t>113,542.50</w:t>
      </w:r>
      <w:r>
        <w:rPr>
          <w:rFonts w:hint="eastAsia"/>
          <w:sz w:val="24"/>
        </w:rPr>
        <w:t>万元。在充分考虑公司实际情况前提下，按照轻重缓急原则，公司拟对本次募投项目募集资金投资金额进行调整，具体如下：</w:t>
      </w:r>
    </w:p>
    <w:tbl>
      <w:tblPr>
        <w:tblStyle w:val="23"/>
        <w:tblW w:w="5000" w:type="pct"/>
        <w:jc w:val="center"/>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23"/>
        <w:gridCol w:w="3076"/>
        <w:gridCol w:w="1542"/>
        <w:gridCol w:w="1543"/>
        <w:gridCol w:w="1542"/>
      </w:tblGrid>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24" w:hRule="atLeast"/>
          <w:jc w:val="center"/>
        </w:trPr>
        <w:tc>
          <w:tcPr>
            <w:tcW w:w="483" w:type="pct"/>
            <w:vAlign w:val="center"/>
          </w:tcPr>
          <w:p>
            <w:pPr>
              <w:jc w:val="center"/>
              <w:rPr>
                <w:b/>
                <w:bCs/>
                <w:szCs w:val="21"/>
              </w:rPr>
            </w:pPr>
            <w:r>
              <w:rPr>
                <w:b/>
                <w:bCs/>
                <w:szCs w:val="21"/>
              </w:rPr>
              <w:t>序号</w:t>
            </w:r>
          </w:p>
        </w:tc>
        <w:tc>
          <w:tcPr>
            <w:tcW w:w="1804" w:type="pct"/>
            <w:vAlign w:val="center"/>
          </w:tcPr>
          <w:p>
            <w:pPr>
              <w:jc w:val="center"/>
              <w:rPr>
                <w:b/>
                <w:bCs/>
                <w:szCs w:val="21"/>
              </w:rPr>
            </w:pPr>
            <w:r>
              <w:rPr>
                <w:b/>
                <w:bCs/>
                <w:szCs w:val="21"/>
              </w:rPr>
              <w:t>项目名称</w:t>
            </w:r>
          </w:p>
        </w:tc>
        <w:tc>
          <w:tcPr>
            <w:tcW w:w="904" w:type="pct"/>
            <w:vAlign w:val="center"/>
          </w:tcPr>
          <w:p>
            <w:pPr>
              <w:jc w:val="center"/>
              <w:rPr>
                <w:b/>
                <w:bCs/>
                <w:szCs w:val="21"/>
              </w:rPr>
            </w:pPr>
            <w:r>
              <w:rPr>
                <w:rFonts w:hint="eastAsia"/>
                <w:b/>
                <w:bCs/>
                <w:szCs w:val="21"/>
              </w:rPr>
              <w:t>项目</w:t>
            </w:r>
            <w:r>
              <w:rPr>
                <w:b/>
                <w:bCs/>
                <w:szCs w:val="21"/>
              </w:rPr>
              <w:t>投资总</w:t>
            </w:r>
            <w:r>
              <w:rPr>
                <w:rFonts w:hint="eastAsia"/>
                <w:b/>
                <w:bCs/>
                <w:szCs w:val="21"/>
              </w:rPr>
              <w:t>金</w:t>
            </w:r>
            <w:r>
              <w:rPr>
                <w:b/>
                <w:bCs/>
                <w:szCs w:val="21"/>
              </w:rPr>
              <w:t>额</w:t>
            </w:r>
            <w:r>
              <w:rPr>
                <w:rFonts w:hint="eastAsia"/>
                <w:b/>
                <w:bCs/>
                <w:szCs w:val="21"/>
              </w:rPr>
              <w:t>（万元）</w:t>
            </w:r>
          </w:p>
        </w:tc>
        <w:tc>
          <w:tcPr>
            <w:tcW w:w="904" w:type="pct"/>
            <w:tcBorders>
              <w:right w:val="single" w:color="auto" w:sz="4" w:space="0"/>
            </w:tcBorders>
          </w:tcPr>
          <w:p>
            <w:pPr>
              <w:jc w:val="center"/>
              <w:rPr>
                <w:b/>
                <w:bCs/>
                <w:szCs w:val="21"/>
              </w:rPr>
            </w:pPr>
            <w:r>
              <w:rPr>
                <w:rFonts w:hint="eastAsia"/>
                <w:b/>
                <w:bCs/>
                <w:szCs w:val="21"/>
              </w:rPr>
              <w:t>原拟使用募集资金投入金额（万元）</w:t>
            </w:r>
          </w:p>
        </w:tc>
        <w:tc>
          <w:tcPr>
            <w:tcW w:w="905" w:type="pct"/>
            <w:tcBorders>
              <w:left w:val="single" w:color="auto" w:sz="4" w:space="0"/>
            </w:tcBorders>
          </w:tcPr>
          <w:p>
            <w:pPr>
              <w:jc w:val="center"/>
              <w:rPr>
                <w:b/>
                <w:bCs/>
                <w:szCs w:val="21"/>
              </w:rPr>
            </w:pPr>
            <w:r>
              <w:rPr>
                <w:rFonts w:hint="eastAsia"/>
                <w:b/>
                <w:bCs/>
                <w:szCs w:val="21"/>
              </w:rPr>
              <w:t>调整后使用募集资金投资金额（万元）</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3" w:type="pct"/>
            <w:vAlign w:val="center"/>
          </w:tcPr>
          <w:p>
            <w:pPr>
              <w:jc w:val="center"/>
              <w:rPr>
                <w:szCs w:val="21"/>
              </w:rPr>
            </w:pPr>
            <w:r>
              <w:rPr>
                <w:szCs w:val="21"/>
              </w:rPr>
              <w:t>1</w:t>
            </w:r>
          </w:p>
        </w:tc>
        <w:tc>
          <w:tcPr>
            <w:tcW w:w="1804" w:type="pct"/>
            <w:vAlign w:val="center"/>
          </w:tcPr>
          <w:p>
            <w:pPr>
              <w:rPr>
                <w:szCs w:val="21"/>
              </w:rPr>
            </w:pPr>
            <w:r>
              <w:rPr>
                <w:szCs w:val="21"/>
              </w:rPr>
              <w:t>下一代智能高性能工业机器人研发</w:t>
            </w:r>
            <w:r>
              <w:rPr>
                <w:rFonts w:hint="eastAsia"/>
                <w:szCs w:val="21"/>
              </w:rPr>
              <w:t>及</w:t>
            </w:r>
            <w:r>
              <w:rPr>
                <w:szCs w:val="21"/>
              </w:rPr>
              <w:t>产业化项目</w:t>
            </w:r>
          </w:p>
        </w:tc>
        <w:tc>
          <w:tcPr>
            <w:tcW w:w="904" w:type="pct"/>
            <w:vAlign w:val="center"/>
          </w:tcPr>
          <w:p>
            <w:pPr>
              <w:jc w:val="right"/>
              <w:rPr>
                <w:szCs w:val="21"/>
              </w:rPr>
            </w:pPr>
            <w:r>
              <w:rPr>
                <w:szCs w:val="21"/>
              </w:rPr>
              <w:t>43,692.50</w:t>
            </w:r>
          </w:p>
        </w:tc>
        <w:tc>
          <w:tcPr>
            <w:tcW w:w="905" w:type="pct"/>
            <w:tcBorders>
              <w:right w:val="single" w:color="auto" w:sz="4" w:space="0"/>
            </w:tcBorders>
            <w:vAlign w:val="center"/>
          </w:tcPr>
          <w:p>
            <w:pPr>
              <w:jc w:val="right"/>
              <w:rPr>
                <w:szCs w:val="21"/>
              </w:rPr>
            </w:pPr>
            <w:r>
              <w:rPr>
                <w:szCs w:val="21"/>
              </w:rPr>
              <w:t>43,692.50</w:t>
            </w:r>
          </w:p>
        </w:tc>
        <w:tc>
          <w:tcPr>
            <w:tcW w:w="904" w:type="pct"/>
            <w:tcBorders>
              <w:left w:val="single" w:color="auto" w:sz="4" w:space="0"/>
            </w:tcBorders>
            <w:vAlign w:val="center"/>
          </w:tcPr>
          <w:p>
            <w:pPr>
              <w:jc w:val="right"/>
              <w:rPr>
                <w:szCs w:val="21"/>
              </w:rPr>
            </w:pPr>
            <w:r>
              <w:rPr>
                <w:rFonts w:hint="eastAsia"/>
                <w:szCs w:val="21"/>
              </w:rPr>
              <w:t>3</w:t>
            </w:r>
            <w:r>
              <w:rPr>
                <w:szCs w:val="21"/>
              </w:rPr>
              <w:t>4</w:t>
            </w:r>
            <w:r>
              <w:rPr>
                <w:rFonts w:hint="eastAsia"/>
                <w:szCs w:val="21"/>
              </w:rPr>
              <w:t>,</w:t>
            </w:r>
            <w:r>
              <w:rPr>
                <w:szCs w:val="21"/>
              </w:rPr>
              <w:t xml:space="preserve">589.49 </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3" w:type="pct"/>
            <w:vAlign w:val="center"/>
          </w:tcPr>
          <w:p>
            <w:pPr>
              <w:jc w:val="center"/>
              <w:rPr>
                <w:szCs w:val="21"/>
              </w:rPr>
            </w:pPr>
            <w:r>
              <w:rPr>
                <w:szCs w:val="21"/>
              </w:rPr>
              <w:t>2</w:t>
            </w:r>
          </w:p>
        </w:tc>
        <w:tc>
          <w:tcPr>
            <w:tcW w:w="1804" w:type="pct"/>
            <w:vAlign w:val="center"/>
          </w:tcPr>
          <w:p>
            <w:pPr>
              <w:rPr>
                <w:szCs w:val="21"/>
              </w:rPr>
            </w:pPr>
            <w:r>
              <w:rPr>
                <w:szCs w:val="21"/>
              </w:rPr>
              <w:t>机器人核心部件性能提升与产能建设项目</w:t>
            </w:r>
          </w:p>
        </w:tc>
        <w:tc>
          <w:tcPr>
            <w:tcW w:w="904" w:type="pct"/>
            <w:vAlign w:val="center"/>
          </w:tcPr>
          <w:p>
            <w:pPr>
              <w:jc w:val="right"/>
              <w:rPr>
                <w:szCs w:val="21"/>
              </w:rPr>
            </w:pPr>
            <w:r>
              <w:rPr>
                <w:szCs w:val="21"/>
              </w:rPr>
              <w:t>33,447.00</w:t>
            </w:r>
          </w:p>
        </w:tc>
        <w:tc>
          <w:tcPr>
            <w:tcW w:w="905" w:type="pct"/>
            <w:vAlign w:val="center"/>
          </w:tcPr>
          <w:p>
            <w:pPr>
              <w:jc w:val="right"/>
              <w:rPr>
                <w:szCs w:val="21"/>
              </w:rPr>
            </w:pPr>
            <w:r>
              <w:rPr>
                <w:szCs w:val="21"/>
              </w:rPr>
              <w:t>33,447.00</w:t>
            </w:r>
          </w:p>
        </w:tc>
        <w:tc>
          <w:tcPr>
            <w:tcW w:w="904" w:type="pct"/>
            <w:vAlign w:val="center"/>
          </w:tcPr>
          <w:p>
            <w:pPr>
              <w:jc w:val="right"/>
              <w:rPr>
                <w:szCs w:val="21"/>
              </w:rPr>
            </w:pPr>
            <w:r>
              <w:rPr>
                <w:rFonts w:hint="eastAsia"/>
                <w:szCs w:val="21"/>
                <w:lang w:val="en-US"/>
              </w:rPr>
              <w:t>18</w:t>
            </w:r>
            <w:r>
              <w:rPr>
                <w:szCs w:val="21"/>
              </w:rPr>
              <w:t>,000.00</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3" w:type="pct"/>
            <w:vAlign w:val="center"/>
          </w:tcPr>
          <w:p>
            <w:pPr>
              <w:jc w:val="center"/>
              <w:rPr>
                <w:szCs w:val="21"/>
              </w:rPr>
            </w:pPr>
            <w:r>
              <w:rPr>
                <w:szCs w:val="21"/>
              </w:rPr>
              <w:t>3</w:t>
            </w:r>
          </w:p>
        </w:tc>
        <w:tc>
          <w:tcPr>
            <w:tcW w:w="1804" w:type="pct"/>
            <w:vAlign w:val="center"/>
          </w:tcPr>
          <w:p>
            <w:pPr>
              <w:rPr>
                <w:szCs w:val="21"/>
              </w:rPr>
            </w:pPr>
            <w:r>
              <w:rPr>
                <w:szCs w:val="21"/>
              </w:rPr>
              <w:t>机器人云平台研发和产业化项目</w:t>
            </w:r>
          </w:p>
        </w:tc>
        <w:tc>
          <w:tcPr>
            <w:tcW w:w="904" w:type="pct"/>
            <w:vAlign w:val="center"/>
          </w:tcPr>
          <w:p>
            <w:pPr>
              <w:jc w:val="right"/>
              <w:rPr>
                <w:szCs w:val="21"/>
              </w:rPr>
            </w:pPr>
            <w:r>
              <w:rPr>
                <w:szCs w:val="21"/>
              </w:rPr>
              <w:t>36,403.00</w:t>
            </w:r>
          </w:p>
        </w:tc>
        <w:tc>
          <w:tcPr>
            <w:tcW w:w="905" w:type="pct"/>
            <w:vAlign w:val="center"/>
          </w:tcPr>
          <w:p>
            <w:pPr>
              <w:jc w:val="right"/>
              <w:rPr>
                <w:szCs w:val="21"/>
              </w:rPr>
            </w:pPr>
            <w:r>
              <w:rPr>
                <w:szCs w:val="21"/>
              </w:rPr>
              <w:t>36,403.00</w:t>
            </w:r>
          </w:p>
        </w:tc>
        <w:tc>
          <w:tcPr>
            <w:tcW w:w="904" w:type="pct"/>
            <w:vAlign w:val="center"/>
          </w:tcPr>
          <w:p>
            <w:pPr>
              <w:jc w:val="right"/>
              <w:rPr>
                <w:szCs w:val="21"/>
              </w:rPr>
            </w:pPr>
            <w:r>
              <w:rPr>
                <w:rFonts w:hint="eastAsia"/>
                <w:szCs w:val="21"/>
                <w:lang w:val="en-US"/>
              </w:rPr>
              <w:t>20</w:t>
            </w:r>
            <w:r>
              <w:rPr>
                <w:szCs w:val="21"/>
              </w:rPr>
              <w:t>,000.00</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87" w:type="pct"/>
            <w:gridSpan w:val="2"/>
            <w:vAlign w:val="center"/>
          </w:tcPr>
          <w:p>
            <w:pPr>
              <w:jc w:val="center"/>
              <w:rPr>
                <w:b/>
                <w:bCs/>
                <w:szCs w:val="21"/>
              </w:rPr>
            </w:pPr>
            <w:r>
              <w:rPr>
                <w:b/>
                <w:bCs/>
                <w:szCs w:val="21"/>
              </w:rPr>
              <w:t>合计</w:t>
            </w:r>
          </w:p>
        </w:tc>
        <w:tc>
          <w:tcPr>
            <w:tcW w:w="904" w:type="pct"/>
            <w:vAlign w:val="center"/>
          </w:tcPr>
          <w:p>
            <w:pPr>
              <w:jc w:val="right"/>
              <w:rPr>
                <w:b/>
                <w:bCs/>
                <w:szCs w:val="21"/>
              </w:rPr>
            </w:pPr>
            <w:r>
              <w:rPr>
                <w:b/>
                <w:bCs/>
                <w:szCs w:val="21"/>
              </w:rPr>
              <w:t>113,542.50</w:t>
            </w:r>
          </w:p>
        </w:tc>
        <w:tc>
          <w:tcPr>
            <w:tcW w:w="905" w:type="pct"/>
          </w:tcPr>
          <w:p>
            <w:pPr>
              <w:jc w:val="right"/>
              <w:rPr>
                <w:b/>
                <w:bCs/>
                <w:szCs w:val="21"/>
              </w:rPr>
            </w:pPr>
            <w:r>
              <w:rPr>
                <w:b/>
                <w:bCs/>
                <w:szCs w:val="21"/>
              </w:rPr>
              <w:t>113,542.50</w:t>
            </w:r>
          </w:p>
        </w:tc>
        <w:tc>
          <w:tcPr>
            <w:tcW w:w="904" w:type="pct"/>
            <w:vAlign w:val="center"/>
          </w:tcPr>
          <w:p>
            <w:pPr>
              <w:jc w:val="right"/>
              <w:rPr>
                <w:b/>
                <w:bCs/>
                <w:szCs w:val="21"/>
              </w:rPr>
            </w:pPr>
            <w:r>
              <w:rPr>
                <w:b/>
                <w:szCs w:val="21"/>
              </w:rPr>
              <w:t>72,589.49</w:t>
            </w:r>
          </w:p>
        </w:tc>
      </w:tr>
    </w:tbl>
    <w:p>
      <w:pPr>
        <w:spacing w:line="360" w:lineRule="auto"/>
        <w:ind w:firstLine="480" w:firstLineChars="200"/>
        <w:rPr>
          <w:sz w:val="24"/>
        </w:rPr>
      </w:pPr>
      <w:r>
        <w:rPr>
          <w:rFonts w:hint="eastAsia"/>
          <w:vanish/>
          <w:sz w:val="24"/>
        </w:rPr>
        <w:t>对于上述调整后，</w:t>
      </w:r>
      <w:r>
        <w:rPr>
          <w:sz w:val="24"/>
        </w:rPr>
        <w:t>实际募集资</w:t>
      </w:r>
      <w:r>
        <w:rPr>
          <w:rFonts w:hint="eastAsia"/>
          <w:sz w:val="24"/>
        </w:rPr>
        <w:t>净</w:t>
      </w:r>
      <w:r>
        <w:rPr>
          <w:sz w:val="24"/>
        </w:rPr>
        <w:t>额与项目需要的投资总额之间仍存在</w:t>
      </w:r>
      <w:r>
        <w:rPr>
          <w:rFonts w:hint="eastAsia"/>
          <w:sz w:val="24"/>
        </w:rPr>
        <w:t>的</w:t>
      </w:r>
      <w:r>
        <w:rPr>
          <w:sz w:val="24"/>
        </w:rPr>
        <w:t>资金缺口，将由公司自筹或通过银行贷款予以解决</w:t>
      </w:r>
      <w:r>
        <w:rPr>
          <w:rFonts w:hint="eastAsia"/>
          <w:sz w:val="24"/>
        </w:rPr>
        <w:t>。</w:t>
      </w:r>
    </w:p>
    <w:p>
      <w:pPr>
        <w:spacing w:line="360" w:lineRule="auto"/>
        <w:ind w:firstLine="482" w:firstLineChars="200"/>
        <w:rPr>
          <w:b/>
          <w:bCs/>
          <w:sz w:val="24"/>
        </w:rPr>
      </w:pPr>
      <w:r>
        <w:rPr>
          <w:rFonts w:hint="eastAsia"/>
          <w:b/>
          <w:bCs/>
          <w:sz w:val="24"/>
        </w:rPr>
        <w:t>三、对公司经营的影响</w:t>
      </w:r>
    </w:p>
    <w:p>
      <w:pPr>
        <w:spacing w:line="360" w:lineRule="auto"/>
        <w:ind w:firstLine="480" w:firstLineChars="200"/>
        <w:rPr>
          <w:bCs/>
          <w:sz w:val="24"/>
        </w:rPr>
      </w:pPr>
      <w:r>
        <w:rPr>
          <w:rFonts w:hint="eastAsia"/>
          <w:bCs/>
          <w:sz w:val="24"/>
        </w:rPr>
        <w:t>本次调整系公司基于实际经营需要，针对实际募集资金净额小于计划募集资金净额的情况，结合项目的轻重缓急等情况作出。公司对募投项目募集资金投资金额进行相应的变更调整，有利于提高募集资金的使用效率，不会对募集资金的正常使用造成实质性影响，符合中国证券监督管理委员会、上海证券交易所关于上市公司募集资金管理的有关规定，不存在损害公司及全体股东利益的情形。</w:t>
      </w:r>
    </w:p>
    <w:p>
      <w:pPr>
        <w:spacing w:line="360" w:lineRule="auto"/>
        <w:ind w:firstLine="480" w:firstLineChars="200"/>
        <w:rPr>
          <w:bCs/>
          <w:sz w:val="24"/>
        </w:rPr>
      </w:pPr>
    </w:p>
    <w:p>
      <w:pPr>
        <w:spacing w:line="360" w:lineRule="auto"/>
        <w:ind w:firstLine="436" w:firstLineChars="200"/>
        <w:jc w:val="both"/>
        <w:rPr>
          <w:sz w:val="24"/>
          <w:szCs w:val="24"/>
        </w:rPr>
      </w:pPr>
      <w:r>
        <w:rPr>
          <w:spacing w:val="-11"/>
          <w:sz w:val="24"/>
          <w:szCs w:val="24"/>
        </w:rPr>
        <w:t xml:space="preserve">以上议案已经 </w:t>
      </w:r>
      <w:r>
        <w:rPr>
          <w:sz w:val="24"/>
          <w:szCs w:val="24"/>
        </w:rPr>
        <w:t>2020</w:t>
      </w:r>
      <w:r>
        <w:rPr>
          <w:spacing w:val="-51"/>
          <w:sz w:val="24"/>
          <w:szCs w:val="24"/>
        </w:rPr>
        <w:t xml:space="preserve"> 年 </w:t>
      </w:r>
      <w:r>
        <w:rPr>
          <w:sz w:val="24"/>
          <w:szCs w:val="24"/>
        </w:rPr>
        <w:t>7</w:t>
      </w:r>
      <w:r>
        <w:rPr>
          <w:spacing w:val="-52"/>
          <w:sz w:val="24"/>
          <w:szCs w:val="24"/>
        </w:rPr>
        <w:t>月</w:t>
      </w:r>
      <w:r>
        <w:rPr>
          <w:rFonts w:hint="eastAsia"/>
          <w:spacing w:val="-52"/>
          <w:sz w:val="24"/>
          <w:szCs w:val="24"/>
        </w:rPr>
        <w:t xml:space="preserve"> </w:t>
      </w:r>
      <w:r>
        <w:rPr>
          <w:rFonts w:hint="eastAsia"/>
          <w:sz w:val="24"/>
          <w:szCs w:val="24"/>
        </w:rPr>
        <w:t>29</w:t>
      </w:r>
      <w:r>
        <w:rPr>
          <w:spacing w:val="-10"/>
          <w:sz w:val="24"/>
          <w:szCs w:val="24"/>
        </w:rPr>
        <w:t>日召开的公司第</w:t>
      </w:r>
      <w:r>
        <w:rPr>
          <w:rFonts w:hint="eastAsia"/>
          <w:spacing w:val="-10"/>
          <w:sz w:val="24"/>
          <w:szCs w:val="24"/>
        </w:rPr>
        <w:t>二</w:t>
      </w:r>
      <w:r>
        <w:rPr>
          <w:spacing w:val="-10"/>
          <w:sz w:val="24"/>
          <w:szCs w:val="24"/>
        </w:rPr>
        <w:t>届董事会第</w:t>
      </w:r>
      <w:r>
        <w:rPr>
          <w:rFonts w:hint="eastAsia"/>
          <w:spacing w:val="-10"/>
          <w:sz w:val="24"/>
          <w:szCs w:val="24"/>
        </w:rPr>
        <w:t>八</w:t>
      </w:r>
      <w:r>
        <w:rPr>
          <w:spacing w:val="-10"/>
          <w:sz w:val="24"/>
          <w:szCs w:val="24"/>
        </w:rPr>
        <w:t>次会议</w:t>
      </w:r>
      <w:r>
        <w:rPr>
          <w:rFonts w:hint="eastAsia"/>
          <w:spacing w:val="-10"/>
          <w:sz w:val="24"/>
          <w:szCs w:val="24"/>
        </w:rPr>
        <w:t>及第二届监事会第四次会议</w:t>
      </w:r>
      <w:r>
        <w:rPr>
          <w:spacing w:val="-10"/>
          <w:sz w:val="24"/>
          <w:szCs w:val="24"/>
        </w:rPr>
        <w:t>审议通</w:t>
      </w:r>
      <w:r>
        <w:rPr>
          <w:sz w:val="24"/>
          <w:szCs w:val="24"/>
        </w:rPr>
        <w:t>过，现提请股东大会审议。</w:t>
      </w:r>
    </w:p>
    <w:p>
      <w:pPr>
        <w:spacing w:line="360" w:lineRule="auto"/>
        <w:ind w:right="480"/>
        <w:rPr>
          <w:sz w:val="24"/>
        </w:rPr>
      </w:pPr>
    </w:p>
    <w:p>
      <w:pPr>
        <w:spacing w:line="360" w:lineRule="auto"/>
        <w:ind w:right="480"/>
        <w:rPr>
          <w:sz w:val="24"/>
        </w:rPr>
      </w:pPr>
    </w:p>
    <w:p>
      <w:pPr>
        <w:spacing w:line="360" w:lineRule="auto"/>
        <w:ind w:right="480"/>
        <w:rPr>
          <w:sz w:val="24"/>
        </w:rPr>
      </w:pPr>
    </w:p>
    <w:p>
      <w:pPr>
        <w:pStyle w:val="9"/>
        <w:jc w:val="right"/>
      </w:pPr>
      <w:r>
        <w:rPr>
          <w:rFonts w:hint="eastAsia"/>
        </w:rPr>
        <w:t>埃夫特智能装备股份有限公司</w:t>
      </w:r>
    </w:p>
    <w:p>
      <w:pPr>
        <w:pStyle w:val="9"/>
        <w:jc w:val="right"/>
      </w:pPr>
    </w:p>
    <w:p>
      <w:pPr>
        <w:pStyle w:val="9"/>
        <w:jc w:val="right"/>
      </w:pPr>
      <w:r>
        <w:rPr>
          <w:rFonts w:hint="eastAsia"/>
        </w:rPr>
        <w:t>2020年8月17日</w:t>
      </w:r>
    </w:p>
    <w:p>
      <w:pPr>
        <w:pStyle w:val="9"/>
        <w:ind w:left="140"/>
      </w:pPr>
    </w:p>
    <w:sectPr>
      <w:pgSz w:w="11910" w:h="16840"/>
      <w:pgMar w:top="1440" w:right="1800" w:bottom="1440" w:left="1800" w:header="884"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643849"/>
      <w:docPartObj>
        <w:docPartGallery w:val="autotext"/>
      </w:docPartObj>
    </w:sdtPr>
    <w:sdtContent>
      <w:p>
        <w:pPr>
          <w:pStyle w:val="15"/>
          <w:jc w:val="center"/>
        </w:pPr>
        <w:r>
          <w:fldChar w:fldCharType="begin"/>
        </w:r>
        <w:r>
          <w:instrText xml:space="preserve">PAGE   \* MERGEFORMAT</w:instrText>
        </w:r>
        <w:r>
          <w:fldChar w:fldCharType="separate"/>
        </w:r>
        <w:r>
          <w:t>11</w:t>
        </w:r>
        <w: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055104" behindDoc="1" locked="0" layoutInCell="1" allowOverlap="1">
              <wp:simplePos x="0" y="0"/>
              <wp:positionH relativeFrom="page">
                <wp:posOffset>4622800</wp:posOffset>
              </wp:positionH>
              <wp:positionV relativeFrom="page">
                <wp:posOffset>548640</wp:posOffset>
              </wp:positionV>
              <wp:extent cx="1664335" cy="174625"/>
              <wp:effectExtent l="0" t="0" r="0" b="0"/>
              <wp:wrapNone/>
              <wp:docPr id="9" name="Text Box 6"/>
              <wp:cNvGraphicFramePr/>
              <a:graphic xmlns:a="http://schemas.openxmlformats.org/drawingml/2006/main">
                <a:graphicData uri="http://schemas.microsoft.com/office/word/2010/wordprocessingShape">
                  <wps:wsp>
                    <wps:cNvSpPr txBox="1">
                      <a:spLocks noChangeArrowheads="1"/>
                    </wps:cNvSpPr>
                    <wps:spPr bwMode="auto">
                      <a:xfrm>
                        <a:off x="0" y="0"/>
                        <a:ext cx="1664335" cy="174625"/>
                      </a:xfrm>
                      <a:prstGeom prst="rect">
                        <a:avLst/>
                      </a:prstGeom>
                      <a:noFill/>
                      <a:ln>
                        <a:noFill/>
                      </a:ln>
                    </wps:spPr>
                    <wps:txbx>
                      <w:txbxContent>
                        <w:p>
                          <w:pPr>
                            <w:spacing w:line="261" w:lineRule="exact"/>
                            <w:ind w:left="20"/>
                            <w:rPr>
                              <w:sz w:val="21"/>
                            </w:rPr>
                          </w:pPr>
                          <w:r>
                            <w:rPr>
                              <w:rFonts w:ascii="Calibri" w:eastAsia="Calibri"/>
                              <w:sz w:val="21"/>
                            </w:rPr>
                            <w:t xml:space="preserve">2020 </w:t>
                          </w:r>
                          <w:r>
                            <w:rPr>
                              <w:sz w:val="21"/>
                            </w:rPr>
                            <w:t>年第一次临时股东大会</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364pt;margin-top:43.2pt;height:13.75pt;width:131.05pt;mso-position-horizontal-relative:page;mso-position-vertical-relative:page;z-index:-252261376;mso-width-relative:page;mso-height-relative:page;" filled="f" stroked="f" coordsize="21600,21600" o:gfxdata="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1bqpbZAAAA&#10;CgEAAA8AAAAAAAAAAQAgAAAAIgAAAGRycy9kb3ducmV2LnhtbFBLAQIUABQAAAAIAIdO4kAZVCvq&#10;4wEAALYDAAAOAAAAAAAAAAEAIAAAACgBAABkcnMvZTJvRG9jLnhtbFBLBQYAAAAABgAGAFkBAAB9&#10;BQAAAAA=&#10;">
              <v:fill on="f" focussize="0,0"/>
              <v:stroke on="f"/>
              <v:imagedata o:title=""/>
              <o:lock v:ext="edit" aspectratio="f"/>
              <v:textbox inset="0mm,0mm,0mm,0mm">
                <w:txbxContent>
                  <w:p>
                    <w:pPr>
                      <w:spacing w:line="261" w:lineRule="exact"/>
                      <w:ind w:left="20"/>
                      <w:rPr>
                        <w:sz w:val="21"/>
                      </w:rPr>
                    </w:pPr>
                    <w:r>
                      <w:rPr>
                        <w:rFonts w:ascii="Calibri" w:eastAsia="Calibri"/>
                        <w:sz w:val="21"/>
                      </w:rPr>
                      <w:t xml:space="preserve">2020 </w:t>
                    </w:r>
                    <w:r>
                      <w:rPr>
                        <w:sz w:val="21"/>
                      </w:rPr>
                      <w:t>年第一次临时股东大会</w:t>
                    </w:r>
                  </w:p>
                </w:txbxContent>
              </v:textbox>
            </v:shape>
          </w:pict>
        </mc:Fallback>
      </mc:AlternateContent>
    </w:r>
    <w:r>
      <w:rPr>
        <w:lang w:val="en-US" w:bidi="ar-SA"/>
      </w:rPr>
      <mc:AlternateContent>
        <mc:Choice Requires="wps">
          <w:drawing>
            <wp:anchor distT="0" distB="0" distL="114300" distR="114300" simplePos="0" relativeHeight="251054080" behindDoc="1" locked="0" layoutInCell="1" allowOverlap="1">
              <wp:simplePos x="0" y="0"/>
              <wp:positionH relativeFrom="page">
                <wp:posOffset>1281430</wp:posOffset>
              </wp:positionH>
              <wp:positionV relativeFrom="page">
                <wp:posOffset>548640</wp:posOffset>
              </wp:positionV>
              <wp:extent cx="2300605" cy="134620"/>
              <wp:effectExtent l="0" t="0" r="0" b="0"/>
              <wp:wrapNone/>
              <wp:docPr id="8" name="Text Box 7"/>
              <wp:cNvGraphicFramePr/>
              <a:graphic xmlns:a="http://schemas.openxmlformats.org/drawingml/2006/main">
                <a:graphicData uri="http://schemas.microsoft.com/office/word/2010/wordprocessingShape">
                  <wps:wsp>
                    <wps:cNvSpPr txBox="1">
                      <a:spLocks noChangeArrowheads="1"/>
                    </wps:cNvSpPr>
                    <wps:spPr bwMode="auto">
                      <a:xfrm>
                        <a:off x="0" y="0"/>
                        <a:ext cx="2300605" cy="134620"/>
                      </a:xfrm>
                      <a:prstGeom prst="rect">
                        <a:avLst/>
                      </a:prstGeom>
                      <a:noFill/>
                      <a:ln>
                        <a:noFill/>
                      </a:ln>
                    </wps:spPr>
                    <wps:txbx>
                      <w:txbxContent>
                        <w:p>
                          <w:pPr>
                            <w:spacing w:line="251" w:lineRule="exact"/>
                            <w:ind w:left="20"/>
                            <w:rPr>
                              <w:sz w:val="21"/>
                            </w:rPr>
                          </w:pPr>
                          <w:r>
                            <w:rPr>
                              <w:rFonts w:hint="eastAsia"/>
                              <w:sz w:val="21"/>
                            </w:rPr>
                            <w:t>埃夫特智能装备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100.9pt;margin-top:43.2pt;height:10.6pt;width:181.15pt;mso-position-horizontal-relative:page;mso-position-vertical-relative:page;z-index:-252262400;mso-width-relative:page;mso-height-relative:page;" filled="f" stroked="f" coordsize="21600,21600" o:gfxdata="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jGnaDYAAAACgEA&#10;AA8AAAAAAAAAAQAgAAAAIgAAAGRycy9kb3ducmV2LnhtbFBLAQIUABQAAAAIAIdO4kA3V9hz4QEA&#10;ALYDAAAOAAAAAAAAAAEAIAAAACcBAABkcnMvZTJvRG9jLnhtbFBLBQYAAAAABgAGAFkBAAB6BQAA&#10;AAA=&#10;">
              <v:fill on="f" focussize="0,0"/>
              <v:stroke on="f"/>
              <v:imagedata o:title=""/>
              <o:lock v:ext="edit" aspectratio="f"/>
              <v:textbox inset="0mm,0mm,0mm,0mm">
                <w:txbxContent>
                  <w:p>
                    <w:pPr>
                      <w:spacing w:line="251" w:lineRule="exact"/>
                      <w:ind w:left="20"/>
                      <w:rPr>
                        <w:sz w:val="21"/>
                      </w:rPr>
                    </w:pPr>
                    <w:r>
                      <w:rPr>
                        <w:rFonts w:hint="eastAsia"/>
                        <w:sz w:val="21"/>
                      </w:rPr>
                      <w:t>埃夫特智能装备</w:t>
                    </w:r>
                    <w:r>
                      <w:rPr>
                        <w:sz w:val="21"/>
                      </w:rPr>
                      <w:t>股份有限公</w:t>
                    </w:r>
                    <w:r>
                      <w:rPr>
                        <w:rFonts w:hint="eastAsia"/>
                        <w:sz w:val="21"/>
                      </w:rPr>
                      <w:t>司</w:t>
                    </w:r>
                  </w:p>
                </w:txbxContent>
              </v:textbox>
            </v:shape>
          </w:pict>
        </mc:Fallback>
      </mc:AlternateContent>
    </w:r>
    <w:r>
      <w:rPr>
        <w:lang w:val="en-US" w:bidi="ar-SA"/>
      </w:rPr>
      <mc:AlternateContent>
        <mc:Choice Requires="wps">
          <w:drawing>
            <wp:anchor distT="0" distB="0" distL="114300" distR="114300" simplePos="0" relativeHeight="251053056" behindDoc="1" locked="0" layoutInCell="1" allowOverlap="1">
              <wp:simplePos x="0" y="0"/>
              <wp:positionH relativeFrom="page">
                <wp:posOffset>1125220</wp:posOffset>
              </wp:positionH>
              <wp:positionV relativeFrom="page">
                <wp:posOffset>757555</wp:posOffset>
              </wp:positionV>
              <wp:extent cx="5311775" cy="0"/>
              <wp:effectExtent l="0" t="0" r="0" b="0"/>
              <wp:wrapNone/>
              <wp:docPr id="7" name="Line 8"/>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059200" behindDoc="1" locked="0" layoutInCell="1" allowOverlap="1">
              <wp:simplePos x="0" y="0"/>
              <wp:positionH relativeFrom="page">
                <wp:posOffset>1280160</wp:posOffset>
              </wp:positionH>
              <wp:positionV relativeFrom="page">
                <wp:posOffset>548640</wp:posOffset>
              </wp:positionV>
              <wp:extent cx="1955165" cy="160020"/>
              <wp:effectExtent l="0" t="0" r="6985" b="1206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55409" cy="159776"/>
                      </a:xfrm>
                      <a:prstGeom prst="rect">
                        <a:avLst/>
                      </a:prstGeom>
                      <a:noFill/>
                      <a:ln>
                        <a:noFill/>
                      </a:ln>
                    </wps:spPr>
                    <wps:txbx>
                      <w:txbxContent>
                        <w:p>
                          <w:pPr>
                            <w:spacing w:line="251" w:lineRule="exact"/>
                            <w:ind w:left="20"/>
                            <w:rPr>
                              <w:sz w:val="21"/>
                            </w:rPr>
                          </w:pPr>
                          <w:r>
                            <w:rPr>
                              <w:rFonts w:hint="eastAsia"/>
                              <w:sz w:val="21"/>
                            </w:rPr>
                            <w:t>埃夫特智能装备</w:t>
                          </w:r>
                          <w:r>
                            <w:rPr>
                              <w:sz w:val="21"/>
                            </w:rPr>
                            <w:t>股份有限公司</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00.8pt;margin-top:43.2pt;height:12.6pt;width:153.95pt;mso-position-horizontal-relative:page;mso-position-vertical-relative:page;z-index:-252257280;mso-width-relative:page;mso-height-relative:page;" filled="f" stroked="f" coordsize="21600,21600" o:gfxdata="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bQ0zdgAAAAK&#10;AQAADwAAAAAAAAABACAAAAAiAAAAZHJzL2Rvd25yZXYueG1sUEsBAhQAFAAAAAgAh07iQEU8aXbj&#10;AQAAtgMAAA4AAAAAAAAAAQAgAAAAJwEAAGRycy9lMm9Eb2MueG1sUEsFBgAAAAAGAAYAWQEAAHwF&#10;AAAAAA==&#10;">
              <v:fill on="f" focussize="0,0"/>
              <v:stroke on="f"/>
              <v:imagedata o:title=""/>
              <o:lock v:ext="edit" aspectratio="f"/>
              <v:textbox inset="0mm,0mm,0mm,0mm">
                <w:txbxContent>
                  <w:p>
                    <w:pPr>
                      <w:spacing w:line="251" w:lineRule="exact"/>
                      <w:ind w:left="20"/>
                      <w:rPr>
                        <w:sz w:val="21"/>
                      </w:rPr>
                    </w:pPr>
                    <w:r>
                      <w:rPr>
                        <w:rFonts w:hint="eastAsia"/>
                        <w:sz w:val="21"/>
                      </w:rPr>
                      <w:t>埃夫特智能装备</w:t>
                    </w:r>
                    <w:r>
                      <w:rPr>
                        <w:sz w:val="21"/>
                      </w:rPr>
                      <w:t>股份有限公司</w:t>
                    </w:r>
                  </w:p>
                </w:txbxContent>
              </v:textbox>
            </v:shape>
          </w:pict>
        </mc:Fallback>
      </mc:AlternateContent>
    </w:r>
    <w:r>
      <w:rPr>
        <w:lang w:val="en-US" w:bidi="ar-SA"/>
      </w:rPr>
      <mc:AlternateContent>
        <mc:Choice Requires="wps">
          <w:drawing>
            <wp:anchor distT="0" distB="0" distL="114300" distR="114300" simplePos="0" relativeHeight="251058176" behindDoc="1" locked="0" layoutInCell="1" allowOverlap="1">
              <wp:simplePos x="0" y="0"/>
              <wp:positionH relativeFrom="page">
                <wp:posOffset>1125220</wp:posOffset>
              </wp:positionH>
              <wp:positionV relativeFrom="page">
                <wp:posOffset>757555</wp:posOffset>
              </wp:positionV>
              <wp:extent cx="5311775" cy="0"/>
              <wp:effectExtent l="0" t="0" r="0" b="0"/>
              <wp:wrapNone/>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id="Line 3" o:spid="_x0000_s1026" o:spt="20" style="position:absolute;left:0pt;margin-left:88.6pt;margin-top:59.65pt;height:0pt;width:418.25pt;mso-position-horizontal-relative:page;mso-position-vertical-relative:page;z-index:-25225830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As&#10;zWPfrwEAAFEDAAAOAAAAAAAAAAEAIAAAACYBAABkcnMvZTJvRG9jLnhtbFBLBQYAAAAABgAGAFkB&#10;AABHBQAAAAA=&#10;">
              <v:fill on="f" focussize="0,0"/>
              <v:stroke weight="0.7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060224" behindDoc="1" locked="0" layoutInCell="1" allowOverlap="1">
              <wp:simplePos x="0" y="0"/>
              <wp:positionH relativeFrom="page">
                <wp:posOffset>4616450</wp:posOffset>
              </wp:positionH>
              <wp:positionV relativeFrom="page">
                <wp:posOffset>548640</wp:posOffset>
              </wp:positionV>
              <wp:extent cx="1664335" cy="17462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664335" cy="174625"/>
                      </a:xfrm>
                      <a:prstGeom prst="rect">
                        <a:avLst/>
                      </a:prstGeom>
                      <a:noFill/>
                      <a:ln>
                        <a:noFill/>
                      </a:ln>
                    </wps:spPr>
                    <wps:txbx>
                      <w:txbxContent>
                        <w:p>
                          <w:pPr>
                            <w:spacing w:line="261" w:lineRule="exact"/>
                            <w:ind w:left="20"/>
                            <w:rPr>
                              <w:sz w:val="21"/>
                            </w:rPr>
                          </w:pPr>
                          <w:r>
                            <w:rPr>
                              <w:rFonts w:ascii="Calibri" w:eastAsia="Calibri"/>
                              <w:sz w:val="21"/>
                            </w:rPr>
                            <w:t xml:space="preserve">2020 </w:t>
                          </w:r>
                          <w:r>
                            <w:rPr>
                              <w:sz w:val="21"/>
                            </w:rPr>
                            <w:t>年第一次临时股东大会</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363.5pt;margin-top:43.2pt;height:13.75pt;width:131.05pt;mso-position-horizontal-relative:page;mso-position-vertical-relative:page;z-index:-252256256;mso-width-relative:page;mso-height-relative:page;" filled="f" stroked="f" coordsize="21600,21600" o:gfxdata="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bCyi9oAAAAK&#10;AQAADwAAAAAAAAABACAAAAAiAAAAZHJzL2Rvd25yZXYueG1sUEsBAhQAFAAAAAgAh07iQH+Jd//h&#10;AQAAtgMAAA4AAAAAAAAAAQAgAAAAKQEAAGRycy9lMm9Eb2MueG1sUEsFBgAAAAAGAAYAWQEAAHwF&#10;AAAAAA==&#10;">
              <v:fill on="f" focussize="0,0"/>
              <v:stroke on="f"/>
              <v:imagedata o:title=""/>
              <o:lock v:ext="edit" aspectratio="f"/>
              <v:textbox inset="0mm,0mm,0mm,0mm">
                <w:txbxContent>
                  <w:p>
                    <w:pPr>
                      <w:spacing w:line="261" w:lineRule="exact"/>
                      <w:ind w:left="20"/>
                      <w:rPr>
                        <w:sz w:val="21"/>
                      </w:rPr>
                    </w:pPr>
                    <w:r>
                      <w:rPr>
                        <w:rFonts w:ascii="Calibri" w:eastAsia="Calibri"/>
                        <w:sz w:val="21"/>
                      </w:rPr>
                      <w:t xml:space="preserve">2020 </w:t>
                    </w:r>
                    <w:r>
                      <w:rPr>
                        <w:sz w:val="21"/>
                      </w:rPr>
                      <w:t>年第一次临时股东大会</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08"/>
    <w:rsid w:val="000C2894"/>
    <w:rsid w:val="000E5087"/>
    <w:rsid w:val="000F42FD"/>
    <w:rsid w:val="001535FB"/>
    <w:rsid w:val="001C33FF"/>
    <w:rsid w:val="001E7303"/>
    <w:rsid w:val="00211EB9"/>
    <w:rsid w:val="0022432D"/>
    <w:rsid w:val="0023658A"/>
    <w:rsid w:val="0024593A"/>
    <w:rsid w:val="00273B82"/>
    <w:rsid w:val="003B6046"/>
    <w:rsid w:val="00510708"/>
    <w:rsid w:val="005817C8"/>
    <w:rsid w:val="006E5264"/>
    <w:rsid w:val="006F395B"/>
    <w:rsid w:val="00715C24"/>
    <w:rsid w:val="00765826"/>
    <w:rsid w:val="007F0157"/>
    <w:rsid w:val="00862708"/>
    <w:rsid w:val="008E1C63"/>
    <w:rsid w:val="00901595"/>
    <w:rsid w:val="009904C8"/>
    <w:rsid w:val="009D03F4"/>
    <w:rsid w:val="00A51CF3"/>
    <w:rsid w:val="00AC0ABB"/>
    <w:rsid w:val="00B915D1"/>
    <w:rsid w:val="00BE0D93"/>
    <w:rsid w:val="00BE2E9A"/>
    <w:rsid w:val="00C35536"/>
    <w:rsid w:val="00D206AF"/>
    <w:rsid w:val="00D20F73"/>
    <w:rsid w:val="00D708A0"/>
    <w:rsid w:val="00E51E5B"/>
    <w:rsid w:val="00E773E7"/>
    <w:rsid w:val="00EB1F97"/>
    <w:rsid w:val="00EC18AC"/>
    <w:rsid w:val="00EC65A7"/>
    <w:rsid w:val="00ED2C51"/>
    <w:rsid w:val="00F03C75"/>
    <w:rsid w:val="00FF45C6"/>
    <w:rsid w:val="558B3F6D"/>
    <w:rsid w:val="6872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140"/>
      <w:outlineLvl w:val="0"/>
    </w:pPr>
    <w:rPr>
      <w:sz w:val="32"/>
      <w:szCs w:val="32"/>
    </w:rPr>
  </w:style>
  <w:style w:type="paragraph" w:styleId="3">
    <w:name w:val="heading 2"/>
    <w:basedOn w:val="1"/>
    <w:next w:val="1"/>
    <w:unhideWhenUsed/>
    <w:qFormat/>
    <w:uiPriority w:val="9"/>
    <w:pPr>
      <w:spacing w:before="58"/>
      <w:ind w:right="65"/>
      <w:jc w:val="center"/>
      <w:outlineLvl w:val="1"/>
    </w:pPr>
    <w:rPr>
      <w:b/>
      <w:bCs/>
      <w:sz w:val="30"/>
      <w:szCs w:val="30"/>
    </w:rPr>
  </w:style>
  <w:style w:type="paragraph" w:styleId="4">
    <w:name w:val="heading 3"/>
    <w:basedOn w:val="1"/>
    <w:next w:val="1"/>
    <w:unhideWhenUsed/>
    <w:qFormat/>
    <w:uiPriority w:val="9"/>
    <w:pPr>
      <w:spacing w:before="62"/>
      <w:ind w:left="281"/>
      <w:outlineLvl w:val="2"/>
    </w:pPr>
    <w:rPr>
      <w:b/>
      <w:bCs/>
      <w:sz w:val="28"/>
      <w:szCs w:val="28"/>
    </w:rPr>
  </w:style>
  <w:style w:type="paragraph" w:styleId="5">
    <w:name w:val="heading 4"/>
    <w:basedOn w:val="1"/>
    <w:next w:val="1"/>
    <w:unhideWhenUsed/>
    <w:qFormat/>
    <w:uiPriority w:val="9"/>
    <w:pPr>
      <w:spacing w:before="63"/>
      <w:ind w:left="281" w:right="498"/>
      <w:jc w:val="center"/>
      <w:outlineLvl w:val="3"/>
    </w:pPr>
    <w:rPr>
      <w:b/>
      <w:bCs/>
      <w:sz w:val="26"/>
      <w:szCs w:val="26"/>
    </w:rPr>
  </w:style>
  <w:style w:type="paragraph" w:styleId="6">
    <w:name w:val="heading 5"/>
    <w:basedOn w:val="1"/>
    <w:next w:val="1"/>
    <w:unhideWhenUsed/>
    <w:qFormat/>
    <w:uiPriority w:val="9"/>
    <w:pPr>
      <w:ind w:left="140"/>
      <w:outlineLvl w:val="4"/>
    </w:pPr>
    <w:rPr>
      <w:b/>
      <w:bCs/>
      <w:sz w:val="24"/>
      <w:szCs w:val="24"/>
    </w:rPr>
  </w:style>
  <w:style w:type="character" w:default="1" w:styleId="24">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uiPriority w:val="39"/>
    <w:pPr>
      <w:ind w:left="1320"/>
    </w:pPr>
    <w:rPr>
      <w:rFonts w:asciiTheme="minorHAnsi" w:hAnsiTheme="minorHAnsi" w:cstheme="minorHAnsi"/>
      <w:sz w:val="18"/>
      <w:szCs w:val="18"/>
    </w:rPr>
  </w:style>
  <w:style w:type="paragraph" w:styleId="8">
    <w:name w:val="annotation text"/>
    <w:basedOn w:val="1"/>
    <w:link w:val="35"/>
    <w:semiHidden/>
    <w:unhideWhenUsed/>
    <w:uiPriority w:val="99"/>
  </w:style>
  <w:style w:type="paragraph" w:styleId="9">
    <w:name w:val="Body Text"/>
    <w:basedOn w:val="1"/>
    <w:qFormat/>
    <w:uiPriority w:val="1"/>
    <w:rPr>
      <w:sz w:val="24"/>
      <w:szCs w:val="24"/>
    </w:rPr>
  </w:style>
  <w:style w:type="paragraph" w:styleId="10">
    <w:name w:val="toc 5"/>
    <w:basedOn w:val="1"/>
    <w:next w:val="1"/>
    <w:unhideWhenUsed/>
    <w:uiPriority w:val="39"/>
    <w:pPr>
      <w:ind w:left="880"/>
    </w:pPr>
    <w:rPr>
      <w:rFonts w:asciiTheme="minorHAnsi" w:hAnsiTheme="minorHAnsi" w:cstheme="minorHAnsi"/>
      <w:sz w:val="18"/>
      <w:szCs w:val="18"/>
    </w:rPr>
  </w:style>
  <w:style w:type="paragraph" w:styleId="11">
    <w:name w:val="toc 3"/>
    <w:basedOn w:val="1"/>
    <w:next w:val="1"/>
    <w:unhideWhenUsed/>
    <w:uiPriority w:val="39"/>
    <w:pPr>
      <w:ind w:left="440"/>
    </w:pPr>
    <w:rPr>
      <w:rFonts w:asciiTheme="minorHAnsi" w:hAnsiTheme="minorHAnsi" w:cstheme="minorHAnsi"/>
      <w:i/>
      <w:iCs/>
      <w:sz w:val="20"/>
      <w:szCs w:val="20"/>
    </w:rPr>
  </w:style>
  <w:style w:type="paragraph" w:styleId="12">
    <w:name w:val="toc 8"/>
    <w:basedOn w:val="1"/>
    <w:next w:val="1"/>
    <w:unhideWhenUsed/>
    <w:uiPriority w:val="39"/>
    <w:pPr>
      <w:ind w:left="1540"/>
    </w:pPr>
    <w:rPr>
      <w:rFonts w:asciiTheme="minorHAnsi" w:hAnsiTheme="minorHAnsi" w:cstheme="minorHAnsi"/>
      <w:sz w:val="18"/>
      <w:szCs w:val="18"/>
    </w:rPr>
  </w:style>
  <w:style w:type="paragraph" w:styleId="13">
    <w:name w:val="Date"/>
    <w:basedOn w:val="1"/>
    <w:next w:val="1"/>
    <w:link w:val="32"/>
    <w:semiHidden/>
    <w:unhideWhenUsed/>
    <w:uiPriority w:val="99"/>
    <w:pPr>
      <w:ind w:left="100" w:leftChars="2500"/>
    </w:pPr>
  </w:style>
  <w:style w:type="paragraph" w:styleId="14">
    <w:name w:val="Balloon Text"/>
    <w:basedOn w:val="1"/>
    <w:link w:val="37"/>
    <w:semiHidden/>
    <w:unhideWhenUsed/>
    <w:uiPriority w:val="99"/>
    <w:rPr>
      <w:sz w:val="18"/>
      <w:szCs w:val="18"/>
    </w:rPr>
  </w:style>
  <w:style w:type="paragraph" w:styleId="15">
    <w:name w:val="footer"/>
    <w:basedOn w:val="1"/>
    <w:link w:val="31"/>
    <w:unhideWhenUsed/>
    <w:uiPriority w:val="99"/>
    <w:pPr>
      <w:tabs>
        <w:tab w:val="center" w:pos="4153"/>
        <w:tab w:val="right" w:pos="8306"/>
      </w:tabs>
      <w:snapToGrid w:val="0"/>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pPr>
    <w:rPr>
      <w:rFonts w:asciiTheme="minorHAnsi" w:hAnsiTheme="minorHAnsi" w:cstheme="minorHAnsi"/>
      <w:b/>
      <w:bCs/>
      <w:caps/>
      <w:sz w:val="20"/>
      <w:szCs w:val="20"/>
    </w:rPr>
  </w:style>
  <w:style w:type="paragraph" w:styleId="18">
    <w:name w:val="toc 4"/>
    <w:basedOn w:val="1"/>
    <w:next w:val="1"/>
    <w:unhideWhenUsed/>
    <w:uiPriority w:val="39"/>
    <w:pPr>
      <w:ind w:left="660"/>
    </w:pPr>
    <w:rPr>
      <w:rFonts w:asciiTheme="minorHAnsi" w:hAnsiTheme="minorHAnsi" w:cstheme="minorHAnsi"/>
      <w:sz w:val="18"/>
      <w:szCs w:val="18"/>
    </w:rPr>
  </w:style>
  <w:style w:type="paragraph" w:styleId="19">
    <w:name w:val="toc 6"/>
    <w:basedOn w:val="1"/>
    <w:next w:val="1"/>
    <w:unhideWhenUsed/>
    <w:uiPriority w:val="39"/>
    <w:pPr>
      <w:ind w:left="1100"/>
    </w:pPr>
    <w:rPr>
      <w:rFonts w:asciiTheme="minorHAnsi" w:hAnsiTheme="minorHAnsi" w:cstheme="minorHAnsi"/>
      <w:sz w:val="18"/>
      <w:szCs w:val="18"/>
    </w:rPr>
  </w:style>
  <w:style w:type="paragraph" w:styleId="20">
    <w:name w:val="toc 2"/>
    <w:basedOn w:val="1"/>
    <w:next w:val="1"/>
    <w:unhideWhenUsed/>
    <w:uiPriority w:val="39"/>
    <w:pPr>
      <w:ind w:left="220"/>
    </w:pPr>
    <w:rPr>
      <w:rFonts w:asciiTheme="minorHAnsi" w:hAnsiTheme="minorHAnsi" w:cstheme="minorHAnsi"/>
      <w:smallCaps/>
      <w:sz w:val="20"/>
      <w:szCs w:val="20"/>
    </w:rPr>
  </w:style>
  <w:style w:type="paragraph" w:styleId="21">
    <w:name w:val="toc 9"/>
    <w:basedOn w:val="1"/>
    <w:next w:val="1"/>
    <w:unhideWhenUsed/>
    <w:qFormat/>
    <w:uiPriority w:val="39"/>
    <w:pPr>
      <w:ind w:left="1760"/>
    </w:pPr>
    <w:rPr>
      <w:rFonts w:asciiTheme="minorHAnsi" w:hAnsiTheme="minorHAnsi" w:cstheme="minorHAnsi"/>
      <w:sz w:val="18"/>
      <w:szCs w:val="18"/>
    </w:rPr>
  </w:style>
  <w:style w:type="paragraph" w:styleId="22">
    <w:name w:val="annotation subject"/>
    <w:basedOn w:val="8"/>
    <w:next w:val="8"/>
    <w:link w:val="36"/>
    <w:semiHidden/>
    <w:unhideWhenUsed/>
    <w:uiPriority w:val="99"/>
    <w:rPr>
      <w:b/>
      <w:bCs/>
    </w:rPr>
  </w:style>
  <w:style w:type="character" w:styleId="25">
    <w:name w:val="Hyperlink"/>
    <w:basedOn w:val="24"/>
    <w:unhideWhenUsed/>
    <w:uiPriority w:val="99"/>
    <w:rPr>
      <w:color w:val="0000FF" w:themeColor="hyperlink"/>
      <w:u w:val="single"/>
      <w14:textFill>
        <w14:solidFill>
          <w14:schemeClr w14:val="hlink"/>
        </w14:solidFill>
      </w14:textFill>
    </w:rPr>
  </w:style>
  <w:style w:type="character" w:styleId="26">
    <w:name w:val="annotation reference"/>
    <w:basedOn w:val="24"/>
    <w:unhideWhenUsed/>
    <w:uiPriority w:val="0"/>
    <w:rPr>
      <w:sz w:val="21"/>
      <w:szCs w:val="21"/>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style>
  <w:style w:type="paragraph" w:customStyle="1" w:styleId="29">
    <w:name w:val="Table Paragraph"/>
    <w:basedOn w:val="1"/>
    <w:qFormat/>
    <w:uiPriority w:val="1"/>
    <w:pPr>
      <w:spacing w:before="2"/>
      <w:ind w:left="107"/>
    </w:pPr>
  </w:style>
  <w:style w:type="character" w:customStyle="1" w:styleId="30">
    <w:name w:val="页眉 Char"/>
    <w:basedOn w:val="24"/>
    <w:link w:val="16"/>
    <w:uiPriority w:val="99"/>
    <w:rPr>
      <w:rFonts w:ascii="宋体" w:hAnsi="宋体" w:eastAsia="宋体" w:cs="宋体"/>
      <w:sz w:val="18"/>
      <w:szCs w:val="18"/>
      <w:lang w:val="zh-CN" w:eastAsia="zh-CN" w:bidi="zh-CN"/>
    </w:rPr>
  </w:style>
  <w:style w:type="character" w:customStyle="1" w:styleId="31">
    <w:name w:val="页脚 Char"/>
    <w:basedOn w:val="24"/>
    <w:link w:val="15"/>
    <w:uiPriority w:val="99"/>
    <w:rPr>
      <w:rFonts w:ascii="宋体" w:hAnsi="宋体" w:eastAsia="宋体" w:cs="宋体"/>
      <w:sz w:val="18"/>
      <w:szCs w:val="18"/>
      <w:lang w:val="zh-CN" w:eastAsia="zh-CN" w:bidi="zh-CN"/>
    </w:rPr>
  </w:style>
  <w:style w:type="character" w:customStyle="1" w:styleId="32">
    <w:name w:val="日期 Char"/>
    <w:basedOn w:val="24"/>
    <w:link w:val="13"/>
    <w:semiHidden/>
    <w:uiPriority w:val="99"/>
    <w:rPr>
      <w:rFonts w:ascii="宋体" w:hAnsi="宋体" w:eastAsia="宋体" w:cs="宋体"/>
      <w:lang w:val="zh-CN" w:eastAsia="zh-CN" w:bidi="zh-CN"/>
    </w:rPr>
  </w:style>
  <w:style w:type="character" w:customStyle="1" w:styleId="33">
    <w:name w:val="Unresolved Mention"/>
    <w:basedOn w:val="24"/>
    <w:semiHidden/>
    <w:unhideWhenUsed/>
    <w:uiPriority w:val="99"/>
    <w:rPr>
      <w:color w:val="605E5C"/>
      <w:shd w:val="clear" w:color="auto" w:fill="E1DFDD"/>
    </w:rPr>
  </w:style>
  <w:style w:type="paragraph" w:customStyle="1" w:styleId="34">
    <w:name w:val="TOC Heading"/>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lang w:val="en-US" w:bidi="ar-SA"/>
    </w:rPr>
  </w:style>
  <w:style w:type="character" w:customStyle="1" w:styleId="35">
    <w:name w:val="批注文字 Char"/>
    <w:basedOn w:val="24"/>
    <w:link w:val="8"/>
    <w:semiHidden/>
    <w:uiPriority w:val="99"/>
    <w:rPr>
      <w:rFonts w:ascii="宋体" w:hAnsi="宋体" w:eastAsia="宋体" w:cs="宋体"/>
      <w:lang w:val="zh-CN" w:eastAsia="zh-CN" w:bidi="zh-CN"/>
    </w:rPr>
  </w:style>
  <w:style w:type="character" w:customStyle="1" w:styleId="36">
    <w:name w:val="批注主题 Char"/>
    <w:basedOn w:val="35"/>
    <w:link w:val="22"/>
    <w:semiHidden/>
    <w:uiPriority w:val="99"/>
    <w:rPr>
      <w:rFonts w:ascii="宋体" w:hAnsi="宋体" w:eastAsia="宋体" w:cs="宋体"/>
      <w:b/>
      <w:bCs/>
      <w:lang w:val="zh-CN" w:eastAsia="zh-CN" w:bidi="zh-CN"/>
    </w:rPr>
  </w:style>
  <w:style w:type="character" w:customStyle="1" w:styleId="37">
    <w:name w:val="批注框文本 Char"/>
    <w:basedOn w:val="24"/>
    <w:link w:val="14"/>
    <w:semiHidden/>
    <w:uiPriority w:val="99"/>
    <w:rPr>
      <w:rFonts w:ascii="宋体" w:hAnsi="宋体" w:eastAsia="宋体" w:cs="宋体"/>
      <w:sz w:val="18"/>
      <w:szCs w:val="18"/>
      <w:lang w:val="zh-CN" w:eastAsia="zh-CN" w:bidi="zh-CN"/>
    </w:rPr>
  </w:style>
  <w:style w:type="character" w:customStyle="1" w:styleId="38">
    <w:name w:val="fontstyle01"/>
    <w:uiPriority w:val="0"/>
    <w:rPr>
      <w:rFonts w:hint="eastAsia" w:ascii="宋体" w:hAnsi="宋体" w:eastAsia="宋体"/>
      <w:color w:val="000000"/>
      <w:sz w:val="24"/>
      <w:szCs w:val="24"/>
    </w:rPr>
  </w:style>
  <w:style w:type="paragraph" w:customStyle="1" w:styleId="39">
    <w:name w:val="Revision"/>
    <w:hidden/>
    <w:semiHidden/>
    <w:uiPriority w:val="99"/>
    <w:pPr>
      <w:widowControl/>
      <w:autoSpaceDE/>
      <w:autoSpaceDN/>
    </w:pPr>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C62CF-0EF8-4A3E-8089-C4F1B434F833}">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826</Words>
  <Characters>4709</Characters>
  <Lines>39</Lines>
  <Paragraphs>11</Paragraphs>
  <TotalTime>49</TotalTime>
  <ScaleCrop>false</ScaleCrop>
  <LinksUpToDate>false</LinksUpToDate>
  <CharactersWithSpaces>5524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2020-08-05T01:18:00Z</dcterms:created>
  <dc:creator>Windows 用户</dc:creator>
  <cp:lastModifiedBy>富强民主</cp:lastModifiedBy>
  <dcterms:modified xsi:type="dcterms:W3CDTF">2020-08-07T02:01:40Z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2052-11.1.0.9828</vt:lpwstr>
  </property>
</Properties>
</file>